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operativně-taktická-studie"/>
    <w:p>
      <w:pPr>
        <w:pStyle w:val="Heading1"/>
        <w:widowControl/>
      </w:pPr>
      <w:r>
        <w:rPr>
          <w:lang w:val="cs-CZ"/>
        </w:rPr>
        <w:t xml:space="preserve">Operativně taktická studie</w:t>
      </w:r>
    </w:p>
    <w:p>
      <w:pPr>
        <w:pStyle w:val="FirstParagraph"/>
        <w:widowControl/>
      </w:pPr>
      <w:r>
        <w:rPr>
          <w:b/>
          <w:bCs/>
          <w:lang w:val="cs-CZ"/>
        </w:rPr>
        <w:t xml:space="preserve">OTS · šablona s pokyny · verze 7. 9. 2026</w:t>
      </w:r>
    </w:p>
    <w:bookmarkStart w:id="9" w:name="jak-šablonu-použít"/>
    <w:p>
      <w:pPr>
        <w:pStyle w:val="Heading2"/>
        <w:widowControl/>
      </w:pPr>
      <w:r>
        <w:rPr>
          <w:lang w:val="cs-CZ"/>
        </w:rPr>
        <w:t xml:space="preserve">Jak šablonu použít</w:t>
      </w:r>
    </w:p>
    <w:p>
      <w:pPr>
        <w:pStyle w:val="FirstParagraph"/>
        <w:widowControl/>
      </w:pPr>
      <w:r>
        <w:rPr>
          <w:lang w:val="cs-CZ"/>
        </w:rPr>
        <w:t xml:space="preserve">Studie je součástí základního textu operativního plánu podle § 34 odst. 3 písm. a) vyhlášky č. 246/2001 Sb. U operativní karty se rozsah doložení odvíjí od objektu a požadavků příslušného HZS. Právní předpis neváže povinnost studie přímo na I., II. či vyšší stupeň poplachu. Existující PPN použijte jako podklad; povinnost jeho zpracování se posuzuje samostatně.</w:t>
      </w:r>
    </w:p>
    <w:p>
      <w:pPr>
        <w:pStyle w:val="BodyText"/>
        <w:widowControl/>
      </w:pPr>
      <w:r>
        <w:rPr>
          <w:lang w:val="cs-CZ"/>
        </w:rPr>
        <w:t xml:space="preserve">Vyplňujte ve Wordu. Nahraďte všechna pole [DOPLNIT: …], doložte výpočty a připojte přílohy. Kurzívou jsou pokyny; před podáním je spolu s touto úvodní částí a závěrečnou nabídkou odstraňte. PDF slouží jako náhled. Žádný stupeň poplachu ani počet jednotek není předvyplněn.</w:t>
      </w:r>
    </w:p>
    <w:bookmarkEnd w:id="9"/>
    <w:bookmarkStart w:id="10" w:name="X09803fe8cbd537ccc3f934d58c7edd78953e361"/>
    <w:p>
      <w:pPr>
        <w:pStyle w:val="Heading2"/>
        <w:widowControl/>
      </w:pPr>
      <w:r>
        <w:rPr>
          <w:lang w:val="cs-CZ"/>
        </w:rPr>
        <w:t xml:space="preserve">1. Identifikace, účel a rozsah</w:t>
      </w:r>
    </w:p>
    <w:tbl>
      <w:tblPr>
        <w:tblStyle w:val="Table"/>
        <w:tblW w:type="auto" w:w="0"/>
        <w:tblLayout w:type="fixed"/>
        <w:tblLook w:firstRow="1" w:lastRow="0" w:firstColumn="0" w:lastColumn="0" w:noHBand="0" w:noVBand="0" w:val="0020"/>
      </w:tblPr>
      <w:tblGrid>
        <w:gridCol w:w="4932"/>
        <w:gridCol w:w="4932"/>
      </w:tblGrid>
      <w:tr>
        <w:trPr>
          <w:tblHeader w:val="on"/>
          <w:cantSplit/>
          <w:tblHeader/>
        </w:trPr>
        <w:tc>
          <w:tcPr>
            <w:tcW w:type="dxa" w:w="4932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Údaj</w:t>
            </w:r>
          </w:p>
        </w:tc>
        <w:tc>
          <w:tcPr>
            <w:tcW w:type="dxa" w:w="4932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Vyplňte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Objekt a adresa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Provozovatel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název / jméno, IČO]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Účel a důvod zpracování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operativní plán / doložení k operativní kartě, právní a věcný důvod]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Navazující DZP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název, datum a verze plánu či karty]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Místo a rozsah účinnosti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provozy, objekty, podlaží]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Datum, verze, zpracovatel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</w:tbl>
    <w:bookmarkEnd w:id="10"/>
    <w:bookmarkStart w:id="11" w:name="Xb5bae926154ce43c0ae65646d6d84c4deec9326"/>
    <w:p>
      <w:pPr>
        <w:pStyle w:val="Heading2"/>
        <w:widowControl/>
      </w:pPr>
      <w:r>
        <w:rPr>
          <w:lang w:val="cs-CZ"/>
        </w:rPr>
        <w:t xml:space="preserve">2. Použité podklady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PBŘ a změny, výkresy, provozní údaje a prohlídka, vlastnosti látek, dokumentace zařízení, požární poplachový plán kraje a aktuální podklady k jednotkám. U metody výpočtu uveďte název, vydání, část a důvod použitelnosti; ověřte místní metodiku HZS. Starší metodický návod nenahrazuje aktuální složení jednotek.</w:t>
      </w:r>
    </w:p>
    <w:tbl>
      <w:tblPr>
        <w:tblStyle w:val="Table"/>
        <w:tblW w:type="auto" w:w="0"/>
        <w:tblLayout w:type="fixed"/>
        <w:tblLook w:firstRow="1" w:lastRow="0" w:firstColumn="0" w:lastColumn="0" w:noHBand="0" w:noVBand="0" w:val="0020"/>
      </w:tblPr>
      <w:tblGrid>
        <w:gridCol w:w="3288"/>
        <w:gridCol w:w="3288"/>
        <w:gridCol w:w="3288"/>
      </w:tblGrid>
      <w:tr>
        <w:trPr>
          <w:tblHeader w:val="on"/>
          <w:cantSplit/>
          <w:tblHeader/>
        </w:trPr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Podklad</w:t>
            </w:r>
          </w:p>
        </w:tc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Autor, datum / revize</w:t>
            </w:r>
          </w:p>
        </w:tc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Použitá část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</w:tbl>
    <w:bookmarkEnd w:id="11"/>
    <w:bookmarkStart w:id="12" w:name="Xb9abb27667cfd3ff7fc11d3e0c967d979a209fc"/>
    <w:p>
      <w:pPr>
        <w:pStyle w:val="Heading2"/>
        <w:widowControl/>
      </w:pPr>
      <w:r>
        <w:rPr>
          <w:lang w:val="cs-CZ"/>
        </w:rPr>
        <w:t xml:space="preserve">3. Parametry objektu rozhodné pro zásah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Konstrukce, výšky, podlaží, požární úseky, únikové a zásahové cesty, technologie, počty osob a osoby vyžadující pomoc. Údaje musí souhlasit s kartou, výkresy a skutečností.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parametry, omezení a zdroje]</w:t>
      </w:r>
    </w:p>
    <w:bookmarkEnd w:id="12"/>
    <w:bookmarkStart w:id="13" w:name="X85b15c61ba0cc34cf83c5efd160b5823410af92"/>
    <w:p>
      <w:pPr>
        <w:pStyle w:val="Heading2"/>
        <w:widowControl/>
      </w:pPr>
      <w:r>
        <w:rPr>
          <w:lang w:val="cs-CZ"/>
        </w:rPr>
        <w:t xml:space="preserve">4. Důvod zpracování DZP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Rozlište vysoké požární nebezpečí podle § 4 odst. 3 zákona, složité podmínky pro zásah podle konkrétního písmene § 18 vyhlášky a další důvod podle § 34 odst. 2. Nepřiřazujte každému objektu § 18, plyne-li povinnost z jiného důvodu. Parametry porovnejte s přesným zněním ustanovení.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ustanovení, skutkové hodnoty a zdroje]</w:t>
      </w:r>
    </w:p>
    <w:bookmarkEnd w:id="13"/>
    <w:bookmarkStart w:id="15" w:name="Xa08fee9f13806d9d63d0ea80b1dacce2c20512a"/>
    <w:p>
      <w:pPr>
        <w:pStyle w:val="Heading2"/>
        <w:widowControl/>
      </w:pPr>
      <w:r>
        <w:rPr>
          <w:lang w:val="cs-CZ"/>
        </w:rPr>
        <w:t xml:space="preserve">5. Nejsložitější varianta požáru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Porovnejte scénáře podle ohrožení osob, šíření a dostupnosti zásahu. Zdůvodněte nejnepříznivější reálnou variantu. Uveďte místo vzniku, geometrii, rychlost šíření a její zdroj, požární zatížení, vliv konstrukcí a požárně bezpečnostních zařízení. Jejich účinnost uvažujte při doložených podmínkách funkce.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scénáře, rozhodná varianta, předpoklady a výpočtová příloha]</w:t>
      </w:r>
    </w:p>
    <w:bookmarkStart w:id="14" w:name="časový-průběh"/>
    <w:p>
      <w:pPr>
        <w:pStyle w:val="Heading3"/>
        <w:widowControl/>
      </w:pPr>
      <w:r>
        <w:rPr>
          <w:lang w:val="cs-CZ"/>
        </w:rPr>
        <w:t xml:space="preserve">Časový průběh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Doba volného rozvoje končí zahájením účinného zásahu. Zahrňte zjištění, ohlášení, výjezd, jízdu a rozvinutí; u převzatého celkového času nesčítejte části podruhé. Odlišujte příjezd jednotky a její nasazení.</w:t>
      </w:r>
    </w:p>
    <w:tbl>
      <w:tblPr>
        <w:tblStyle w:val="Table"/>
        <w:tblW w:type="auto" w:w="0"/>
        <w:tblLayout w:type="fixed"/>
        <w:tblLook w:firstRow="1" w:lastRow="0" w:firstColumn="0" w:lastColumn="0" w:noHBand="0" w:noVBand="0" w:val="0020"/>
      </w:tblPr>
      <w:tblGrid>
        <w:gridCol w:w="3288"/>
        <w:gridCol w:w="3288"/>
        <w:gridCol w:w="3288"/>
      </w:tblGrid>
      <w:tr>
        <w:trPr>
          <w:tblHeader w:val="on"/>
          <w:cantSplit/>
          <w:tblHeader/>
        </w:trPr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Děj / časový bod</w:t>
            </w:r>
          </w:p>
        </w:tc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Doba nebo čas od vzniku [min]</w:t>
            </w:r>
          </w:p>
        </w:tc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Zdroj a předpoklady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Zjištění a ohlášení požáru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Výjezd a jízda jednotek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po jednotkách]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Rozvinutí a zahájení zásahu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Doba volného rozvoje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výpočet]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</w:tbl>
    <w:bookmarkEnd w:id="14"/>
    <w:bookmarkEnd w:id="15"/>
    <w:bookmarkStart w:id="16" w:name="Xafc88f595a5a0ac1c01fe5fda53988ae5da9439"/>
    <w:p>
      <w:pPr>
        <w:pStyle w:val="Heading2"/>
        <w:widowControl/>
      </w:pPr>
      <w:r>
        <w:rPr>
          <w:lang w:val="cs-CZ"/>
        </w:rPr>
        <w:t xml:space="preserve">6. Potřeba sil a prostředků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Pro rozhodné časy doložte rozměry požáru a hasební plochu, intenzitu dodávky hasiva, počet a výkon proudů. Uveďte jednotky, vzorce, vstupy a zdroje. Vedle hašení zahrňte záchranu, průzkum, dopravu vody, obsluhu techniky, jištění a zálohu.</w:t>
      </w:r>
    </w:p>
    <w:tbl>
      <w:tblPr>
        <w:tblStyle w:val="Table"/>
        <w:tblW w:type="auto" w:w="0"/>
        <w:tblLayout w:type="fixed"/>
        <w:tblLook w:firstRow="1" w:lastRow="0" w:firstColumn="0" w:lastColumn="0" w:noHBand="0" w:noVBand="0" w:val="0020"/>
      </w:tblPr>
      <w:tblGrid>
        <w:gridCol w:w="3288"/>
        <w:gridCol w:w="3288"/>
        <w:gridCol w:w="3288"/>
      </w:tblGrid>
      <w:tr>
        <w:trPr>
          <w:tblHeader w:val="on"/>
          <w:cantSplit/>
          <w:tblHeader/>
        </w:trPr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Potřeba</w:t>
            </w:r>
          </w:p>
        </w:tc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Výpočet / výsledek</w:t>
            </w:r>
          </w:p>
        </w:tc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Podmínky a zdroj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Plocha požáru a hasební plocha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m², průběh v čase]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Proudy a dodávka hasiva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počet, l/min]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Zásoba a doprava vody / hasiva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množství, doba, způsob]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Hasiči, dýchací technika a záloha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počet a úkoly]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Další a speciální technika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</w:tbl>
    <w:p>
      <w:pPr>
        <w:pStyle w:val="BodyText"/>
        <w:keepNext w:val="0"/>
        <w:widowControl/>
      </w:pPr>
      <w:r>
        <w:rPr>
          <w:i/>
          <w:iCs/>
          <w:lang w:val="cs-CZ"/>
        </w:rPr>
        <w:t xml:space="preserve">Porovnávejte postupně dostupné síly podle příslušného požárního poplachového plánu kraje. Počet proudů sám neurčuje stupeň poplachu; I. stupeň nepovažujte předem za nedostatečný.</w:t>
      </w:r>
    </w:p>
    <w:bookmarkEnd w:id="16"/>
    <w:bookmarkStart w:id="17" w:name="X92346f30547e43bff5da11be4fbe10f21d1b3c6"/>
    <w:p>
      <w:pPr>
        <w:pStyle w:val="Heading2"/>
        <w:widowControl/>
      </w:pPr>
      <w:r>
        <w:rPr>
          <w:lang w:val="cs-CZ"/>
        </w:rPr>
        <w:t xml:space="preserve">7. Podmínky a omezení zásahu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Příjezdy, nástupní plochy, dosah výškové techniky, vydatnost vody, přístup k uzávěrům a ovládání zařízení. U FVE, baterií a dobíjení popište vypnutí a zbývající rizika. Doplňte tlakové lahve, nebezpečné látky, riziko zřícení a součinnost provozovatele a dalších služeb.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omezení a jejich vliv na postup a čas zásahu]</w:t>
      </w:r>
    </w:p>
    <w:bookmarkEnd w:id="17"/>
    <w:bookmarkStart w:id="18" w:name="X8b292783e0578d4874354904726d5ba44d76226"/>
    <w:p>
      <w:pPr>
        <w:pStyle w:val="Heading2"/>
        <w:widowControl/>
      </w:pPr>
      <w:r>
        <w:rPr>
          <w:lang w:val="cs-CZ"/>
        </w:rPr>
        <w:t xml:space="preserve">8. Předpokládané jednotky a nasazení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Vycházejte z požárního poplachového plánu kraje a doložených údajů o výjezdu, dojezdu, obsazení a technice. Plošné pokrytí kraje samo nezaručuje konkrétní příjezdový čas. Uveďte zdroj a datum ověření.</w:t>
      </w:r>
    </w:p>
    <w:tbl>
      <w:tblPr>
        <w:tblStyle w:val="Table"/>
        <w:tblW w:type="auto" w:w="0"/>
        <w:tblLayout w:type="fixed"/>
        <w:tblLook w:firstRow="1" w:lastRow="0" w:firstColumn="0" w:lastColumn="0" w:noHBand="0" w:noVBand="0" w:val="0020"/>
      </w:tblPr>
      <w:tblGrid>
        <w:gridCol w:w="2466"/>
        <w:gridCol w:w="2466"/>
        <w:gridCol w:w="2466"/>
        <w:gridCol w:w="2466"/>
      </w:tblGrid>
      <w:tr>
        <w:trPr>
          <w:tblHeader w:val="on"/>
          <w:cantSplit/>
          <w:tblHeader/>
        </w:trPr>
        <w:tc>
          <w:tcPr>
            <w:tcW w:type="dxa" w:w="2466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Jednotka / stupeň</w:t>
            </w:r>
          </w:p>
        </w:tc>
        <w:tc>
          <w:tcPr>
            <w:tcW w:type="dxa" w:w="2466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Příjezd a nasazení [min od vzniku]</w:t>
            </w:r>
          </w:p>
        </w:tc>
        <w:tc>
          <w:tcPr>
            <w:tcW w:type="dxa" w:w="2466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Lidé a technika</w:t>
            </w:r>
          </w:p>
        </w:tc>
        <w:tc>
          <w:tcPr>
            <w:tcW w:type="dxa" w:w="2466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Úkol</w:t>
            </w:r>
          </w:p>
        </w:tc>
      </w:tr>
      <w:tr>
        <w:trPr>
          <w:cantSplit/>
        </w:trPr>
        <w:tc>
          <w:tcPr>
            <w:tcW w:type="dxa" w:w="2466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2466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2466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2466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</w:tbl>
    <w:bookmarkEnd w:id="18"/>
    <w:bookmarkStart w:id="19" w:name="Xf038a1b6d1c492c60a34b0ff5abf1510508daac"/>
    <w:p>
      <w:pPr>
        <w:pStyle w:val="Heading2"/>
        <w:widowControl/>
      </w:pPr>
      <w:r>
        <w:rPr>
          <w:lang w:val="cs-CZ"/>
        </w:rPr>
        <w:t xml:space="preserve">9. Závěr a návaznost na kartu</w:t>
      </w:r>
    </w:p>
    <w:p>
      <w:pPr>
        <w:pStyle w:val="FirstParagraph"/>
        <w:widowControl/>
        <w:spacing w:after="200"/>
      </w:pPr>
      <w:r>
        <w:rPr>
          <w:lang w:val="cs-CZ"/>
        </w:rPr>
        <w:t xml:space="preserve">[DOPLNIT: pokrytí potřeby prostředky v rozhodných časech, nedostatky a opatření]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doporučený stupeň poplachu a zdůvodnění podle výpočtu a krajského plánu]</w:t>
      </w:r>
    </w:p>
    <w:p>
      <w:pPr>
        <w:pStyle w:val="BodyText"/>
        <w:keepNext w:val="0"/>
        <w:widowControl/>
      </w:pPr>
      <w:r>
        <w:rPr>
          <w:i/>
          <w:iCs/>
          <w:lang w:val="cs-CZ"/>
        </w:rPr>
        <w:t xml:space="preserve">Závěr musí souhlasit s kartou či plánem a výkresy. Vyšší stupeň odvoďte z doložené potřeby; rozlište požární poplachový plán kraje od stupňů poplachu integrovaného záchranného systému.</w:t>
      </w:r>
    </w:p>
    <w:bookmarkEnd w:id="19"/>
    <w:bookmarkStart w:id="20" w:name="X3cbbb8c37c868efc47f2a7601ee56c08f8de9a0"/>
    <w:p>
      <w:pPr>
        <w:pStyle w:val="Heading2"/>
        <w:widowControl/>
      </w:pPr>
      <w:r>
        <w:rPr>
          <w:lang w:val="cs-CZ"/>
        </w:rPr>
        <w:t xml:space="preserve">10. Přílohy, zpracování a schválení</w:t>
      </w:r>
    </w:p>
    <w:tbl>
      <w:tblPr>
        <w:tblStyle w:val="Table"/>
        <w:tblW w:type="auto" w:w="0"/>
        <w:tblLayout w:type="fixed"/>
        <w:tblLook w:firstRow="1" w:lastRow="0" w:firstColumn="0" w:lastColumn="0" w:noHBand="0" w:noVBand="0" w:val="0020"/>
      </w:tblPr>
      <w:tblGrid>
        <w:gridCol w:w="4932"/>
        <w:gridCol w:w="4932"/>
      </w:tblGrid>
      <w:tr>
        <w:trPr>
          <w:tblHeader w:val="on"/>
          <w:cantSplit/>
          <w:tblHeader/>
        </w:trPr>
        <w:tc>
          <w:tcPr>
            <w:tcW w:type="dxa" w:w="4932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Údaj</w:t>
            </w:r>
          </w:p>
        </w:tc>
        <w:tc>
          <w:tcPr>
            <w:tcW w:type="dxa" w:w="4932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Vyplňte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Výpočty a výkresy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seznam, označení a verze]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Zpracovatel DZP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jméno, OZO / technik PO, číslo osvědčení]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Datum a podpis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Schválil za provozovatele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oprávněná osoba podle § 40 odst. 3, funkce, datum a podpis]</w:t>
            </w:r>
          </w:p>
        </w:tc>
      </w:tr>
    </w:tbl>
    <w:p>
      <w:pPr>
        <w:pStyle w:val="BodyText"/>
        <w:keepNext w:val="0"/>
        <w:widowControl/>
      </w:pPr>
      <w:r>
        <w:rPr>
          <w:i/>
          <w:iCs/>
          <w:lang w:val="cs-CZ"/>
        </w:rPr>
        <w:t xml:space="preserve">Studii připojte k příslušné DZP. Schvalování DZP orgánem státního požárního dozoru se řídí § 6b zákona; podpis za provozovatele je nenahrazuje.</w:t>
      </w:r>
    </w:p>
    <w:bookmarkEnd w:id="20"/>
    <w:bookmarkStart w:id="26" w:name="opora-šablony"/>
    <w:p>
      <w:pPr>
        <w:pStyle w:val="Heading2"/>
        <w:widowControl/>
      </w:pPr>
      <w:r>
        <w:rPr>
          <w:lang w:val="cs-CZ"/>
        </w:rPr>
        <w:t xml:space="preserve">Opora šablony</w:t>
      </w:r>
    </w:p>
    <w:p>
      <w:pPr>
        <w:pStyle w:val="FirstParagraph"/>
        <w:widowControl/>
      </w:pPr>
      <w:hyperlink r:id="rId21">
        <w:r>
          <w:rPr>
            <w:rStyle w:val="Hyperlink"/>
            <w:lang w:val="cs-CZ"/>
          </w:rPr>
          <w:t xml:space="preserve">Zákon č. 133/1985 Sb.</w:t>
        </w:r>
      </w:hyperlink>
      <w:r>
        <w:rPr>
          <w:lang w:val="cs-CZ"/>
        </w:rPr>
        <w:t xml:space="preserve">, zejména § 6b a § 11;</w:t>
      </w:r>
      <w:r>
        <w:rPr>
          <w:lang w:val="cs-CZ"/>
        </w:rPr>
        <w:t xml:space="preserve"> </w:t>
      </w:r>
      <w:hyperlink r:id="rId22">
        <w:r>
          <w:rPr>
            <w:rStyle w:val="Hyperlink"/>
            <w:lang w:val="cs-CZ"/>
          </w:rPr>
          <w:t xml:space="preserve">vyhláška č. 246/2001 Sb.</w:t>
        </w:r>
      </w:hyperlink>
      <w:r>
        <w:rPr>
          <w:lang w:val="cs-CZ"/>
        </w:rPr>
        <w:t xml:space="preserve">, zejména § 18, § 34 a § 40. Právní stav ověřen 7. 9. 2026. Výpočet a předurčené jednotky ověřte podle aktuálních podkladů příslušného</w:t>
      </w:r>
      <w:r>
        <w:rPr>
          <w:lang w:val="cs-CZ"/>
        </w:rPr>
        <w:t xml:space="preserve"> </w:t>
      </w:r>
      <w:hyperlink r:id="rId23">
        <w:r>
          <w:rPr>
            <w:rStyle w:val="Hyperlink"/>
            <w:lang w:val="cs-CZ"/>
          </w:rPr>
          <w:t xml:space="preserve">HZS kraje</w:t>
        </w:r>
      </w:hyperlink>
      <w:r>
        <w:rPr>
          <w:lang w:val="cs-CZ"/>
        </w:rPr>
        <w:t xml:space="preserve">.</w:t>
      </w:r>
    </w:p>
    <w:p>
      <w:pPr>
        <w:keepNext w:val="0"/>
        <w:widowControl/>
      </w:pPr>
      <w:r>
        <w:pict>
          <v:rect style="width:0;height:1.5pt" o:hralign="center" o:hrstd="t" o:hr="t"/>
        </w:pict>
      </w:r>
    </w:p>
    <w:p>
      <w:pPr>
        <w:pStyle w:val="FirstParagraph"/>
        <w:widowControl/>
      </w:pPr>
      <w:r>
        <w:rPr>
          <w:b/>
          <w:bCs/>
          <w:lang w:val="cs-CZ"/>
        </w:rPr>
        <w:t xml:space="preserve">Pomoc se zpracováním:</w:t>
      </w:r>
      <w:r>
        <w:rPr>
          <w:lang w:val="cs-CZ"/>
        </w:rPr>
        <w:t xml:space="preserve"> </w:t>
      </w:r>
      <w:r>
        <w:rPr>
          <w:lang w:val="cs-CZ"/>
        </w:rPr>
        <w:t xml:space="preserve">Z vašich podkladů připravíme koncept studie navázaný na DZP, zpravidla do 24 hodin od odeslání kompletních podkladů. Od 800 Kč.</w:t>
      </w:r>
      <w:r>
        <w:rPr>
          <w:lang w:val="cs-CZ"/>
        </w:rPr>
        <w:t xml:space="preserve"> </w:t>
      </w:r>
      <w:hyperlink r:id="rId24">
        <w:r>
          <w:rPr>
            <w:rStyle w:val="Hyperlink"/>
            <w:lang w:val="cs-CZ"/>
          </w:rPr>
          <w:t xml:space="preserve">Požární apka</w:t>
        </w:r>
      </w:hyperlink>
      <w:r>
        <w:rPr>
          <w:lang w:val="cs-CZ"/>
        </w:rPr>
        <w:t xml:space="preserve"> </w:t>
      </w:r>
      <w:r>
        <w:rPr>
          <w:lang w:val="cs-CZ"/>
        </w:rPr>
        <w:t xml:space="preserve">·</w:t>
      </w:r>
      <w:r>
        <w:rPr>
          <w:lang w:val="cs-CZ"/>
        </w:rPr>
        <w:t xml:space="preserve"> </w:t>
      </w:r>
      <w:hyperlink r:id="rId25">
        <w:r>
          <w:rPr>
            <w:rStyle w:val="Hyperlink"/>
            <w:lang w:val="cs-CZ"/>
          </w:rPr>
          <w:t xml:space="preserve">info@pozarniapka.cz</w:t>
        </w:r>
      </w:hyperlink>
    </w:p>
    <w:bookmarkEnd w:id="26"/>
    <w:bookmarkEnd w:id="27"/>
    <w:sectPr>
      <w:footerReference w:type="default" r:id="rId9"/>
      <w:footnotePr>
        <w:numRestart w:val="eachSect"/>
      </w:footnotePr>
      <w:pgSz w:w="11906" w:h="16838"/>
      <w:pgMar w:top="1134" w:bottom="907" w:left="1020" w:right="1020" w:footer="45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rlito" w:hAnsi="Carlito"/>
        <w:sz w:val="16"/>
      </w:rPr>
      <w:t xml:space="preserve">Požární apka · </w:t>
    </w:r>
    <w:fldSimple w:instr="PAGE"/>
    <w:r>
      <w:rPr>
        <w:rFonts w:ascii="Carlito" w:hAnsi="Carlito"/>
        <w:sz w:val="16"/>
      </w:rPr>
      <w:t xml:space="preserve"> / </w:t>
    </w:r>
    <w:fldSimple w:instr="NUMPAGES"/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cs-CZ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before="0" w:after="140" w:line="283" w:lineRule="auto"/>
    </w:pPr>
    <w:rPr>
      <w:rFonts w:ascii="Caladea" w:hAnsi="Caladea"/>
      <w:color w:val="1A1A1A"/>
      <w:sz w:val="21"/>
    </w:rPr>
  </w:style>
  <w:style w:styleId="BodyText" w:type="paragraph">
    <w:name w:val="Body Text"/>
    <w:basedOn w:val="Normal"/>
    <w:link w:val="BodyTextChar"/>
    <w:qFormat/>
    <w:pPr>
      <w:widowControl/>
      <w:spacing w:after="140" w:before="0" w:line="283" w:lineRule="auto"/>
    </w:pPr>
    <w:rPr>
      <w:rFonts w:ascii="Caladea" w:hAnsi="Caladea"/>
      <w:color w:val="1A1A1A"/>
      <w:sz w:val="21"/>
    </w:rPr>
  </w:style>
  <w:style w:customStyle="1" w:styleId="FirstParagraph" w:type="paragraph">
    <w:name w:val="First Paragraph"/>
    <w:basedOn w:val="BodyText"/>
    <w:next w:val="BodyText"/>
    <w:qFormat/>
    <w:pPr>
      <w:widowControl/>
      <w:spacing w:before="0" w:after="140" w:line="283" w:lineRule="auto"/>
    </w:pPr>
    <w:rPr>
      <w:rFonts w:ascii="Caladea" w:hAnsi="Caladea"/>
      <w:color w:val="1A1A1A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adea" w:hAnsi="Caladea"/>
      <w:color w:val="1A1A1A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Caladea" w:hAnsi="Caladea"/>
      <w:color w:val="1A1A1A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 w:ascii="Caladea" w:hAnsi="Caladea"/>
      <w:color w:val="1A1A1A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 w:ascii="Caladea" w:hAnsi="Caladea"/>
      <w:color w:val="1A1A1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 w:ascii="Caladea" w:hAnsi="Caladea"/>
      <w:color w:val="1A1A1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rFonts w:ascii="Caladea" w:hAnsi="Caladea"/>
      <w:color w:val="1A1A1A"/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rFonts w:ascii="Caladea" w:hAnsi="Caladea"/>
      <w:color w:val="1A1A1A"/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adea" w:hAnsi="Caladea"/>
      <w:b/>
      <w:color w:val="1A1A1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adea" w:hAnsi="Caladea"/>
      <w:color w:val="1A1A1A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adea" w:hAnsi="Caladea"/>
      <w:color w:val="1A1A1A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100" w:before="0"/>
      <w:outlineLvl w:val="0"/>
    </w:pPr>
    <w:rPr>
      <w:rFonts w:asciiTheme="majorHAnsi" w:cstheme="majorBidi" w:eastAsiaTheme="majorEastAsia" w:hAnsiTheme="majorHAnsi" w:ascii="Caladea" w:hAnsi="Caladea"/>
      <w:b/>
      <w:color w:val="1A1A1A"/>
      <w:sz w:val="42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00" w:before="240"/>
      <w:outlineLvl w:val="1"/>
    </w:pPr>
    <w:rPr>
      <w:rFonts w:asciiTheme="majorHAnsi" w:cstheme="majorBidi" w:eastAsiaTheme="majorEastAsia" w:hAnsiTheme="majorHAnsi" w:ascii="Carlito" w:hAnsi="Carlito"/>
      <w:b/>
      <w:color w:val="1A1A1A"/>
      <w:sz w:val="2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00" w:before="240"/>
      <w:outlineLvl w:val="2"/>
    </w:pPr>
    <w:rPr>
      <w:rFonts w:cstheme="majorBidi" w:eastAsiaTheme="majorEastAsia" w:ascii="Carlito" w:hAnsi="Carlito"/>
      <w:b/>
      <w:color w:val="1A1A1A"/>
      <w:sz w:val="21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 w:ascii="Caladea" w:hAnsi="Caladea"/>
      <w:i/>
      <w:iCs/>
      <w:color w:val="1A1A1A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 w:ascii="Caladea" w:hAnsi="Caladea"/>
      <w:color w:val="1A1A1A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 w:ascii="Caladea" w:hAnsi="Caladea"/>
      <w:i/>
      <w:iCs/>
      <w:color w:val="1A1A1A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 w:ascii="Caladea" w:hAnsi="Caladea"/>
      <w:color w:val="1A1A1A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 w:ascii="Caladea" w:hAnsi="Caladea"/>
      <w:i/>
      <w:iCs/>
      <w:color w:val="1A1A1A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 w:ascii="Caladea" w:hAnsi="Caladea"/>
      <w:color w:val="1A1A1A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 w:ascii="Caladea" w:hAnsi="Caladea"/>
      <w:color w:val="1A1A1A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 w:ascii="Caladea" w:hAnsi="Caladea"/>
      <w:color w:val="1A1A1A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 w:ascii="Caladea" w:hAnsi="Caladea"/>
      <w:color w:val="1A1A1A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 w:ascii="Caladea" w:hAnsi="Caladea"/>
      <w:i/>
      <w:iCs/>
      <w:color w:val="1A1A1A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 w:ascii="Caladea" w:hAnsi="Caladea"/>
      <w:color w:val="1A1A1A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 w:ascii="Caladea" w:hAnsi="Caladea"/>
      <w:i/>
      <w:iCs/>
      <w:color w:val="1A1A1A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 w:ascii="Caladea" w:hAnsi="Caladea"/>
      <w:color w:val="1A1A1A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 w:ascii="Caladea" w:hAnsi="Caladea"/>
      <w:i/>
      <w:iCs/>
      <w:color w:val="1A1A1A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 w:ascii="Caladea" w:hAnsi="Caladea"/>
      <w:color w:val="1A1A1A"/>
    </w:rPr>
  </w:style>
  <w:style w:styleId="BlockText" w:type="paragraph">
    <w:name w:val="Block Text"/>
    <w:basedOn w:val="BodyText"/>
    <w:next w:val="BodyText"/>
    <w:uiPriority w:val="9"/>
    <w:unhideWhenUsed/>
    <w:qFormat/>
    <w:pPr>
      <w:widowControl/>
      <w:spacing w:after="140" w:before="0" w:line="283" w:lineRule="auto"/>
      <w:ind w:firstLine="0" w:left="480" w:right="480"/>
    </w:pPr>
    <w:rPr>
      <w:rFonts w:ascii="Caladea" w:hAnsi="Caladea"/>
      <w:color w:val="1A1A1A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adea" w:hAnsi="Caladea"/>
      <w:color w:val="1A1A1A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  <w:rPr>
      <w:rFonts w:ascii="Caladea" w:hAnsi="Caladea"/>
      <w:color w:val="1A1A1A"/>
    </w:rPr>
  </w:style>
  <w:style w:default="1" w:styleId="DefaultParagraphFont" w:type="character">
    <w:name w:val="Default Paragraph Font"/>
    <w:semiHidden/>
    <w:unhideWhenUsed/>
    <w:rPr>
      <w:rFonts w:ascii="Caladea" w:hAnsi="Caladea"/>
      <w:color w:val="1A1A1A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adea" w:hAnsi="Caladea"/>
      <w:b/>
      <w:color w:val="1A1A1A"/>
    </w:rPr>
  </w:style>
  <w:style w:customStyle="1" w:styleId="Definition" w:type="paragraph">
    <w:name w:val="Definition"/>
    <w:basedOn w:val="Normal"/>
    <w:rPr>
      <w:rFonts w:ascii="Caladea" w:hAnsi="Caladea"/>
      <w:color w:val="1A1A1A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adea" w:hAnsi="Caladea"/>
      <w:i/>
      <w:color w:val="1A1A1A"/>
    </w:rPr>
  </w:style>
  <w:style w:customStyle="1" w:styleId="TableCaption" w:type="paragraph">
    <w:name w:val="Table Caption"/>
    <w:basedOn w:val="Caption"/>
    <w:pPr>
      <w:keepNext/>
    </w:pPr>
    <w:rPr>
      <w:rFonts w:ascii="Caladea" w:hAnsi="Caladea"/>
      <w:color w:val="1A1A1A"/>
    </w:rPr>
  </w:style>
  <w:style w:customStyle="1" w:styleId="ImageCaption" w:type="paragraph">
    <w:name w:val="Image Caption"/>
    <w:basedOn w:val="Caption"/>
    <w:rPr>
      <w:rFonts w:ascii="Caladea" w:hAnsi="Caladea"/>
      <w:color w:val="1A1A1A"/>
    </w:rPr>
  </w:style>
  <w:style w:customStyle="1" w:styleId="Figure" w:type="paragraph">
    <w:name w:val="Figure"/>
    <w:basedOn w:val="Normal"/>
    <w:rPr>
      <w:rFonts w:ascii="Caladea" w:hAnsi="Caladea"/>
      <w:color w:val="1A1A1A"/>
    </w:rPr>
  </w:style>
  <w:style w:customStyle="1" w:styleId="CaptionedFigure" w:type="paragraph">
    <w:name w:val="Captioned Figure"/>
    <w:basedOn w:val="Figure"/>
    <w:pPr>
      <w:keepNext/>
    </w:pPr>
    <w:rPr>
      <w:rFonts w:ascii="Caladea" w:hAnsi="Caladea"/>
      <w:color w:val="1A1A1A"/>
    </w:rPr>
  </w:style>
  <w:style w:customStyle="1" w:styleId="BodyTextChar" w:type="character">
    <w:name w:val="Body Text Char"/>
    <w:basedOn w:val="DefaultParagraphFont"/>
    <w:link w:val="BodyText"/>
    <w:rPr>
      <w:rFonts w:ascii="Caladea" w:hAnsi="Caladea"/>
      <w:color w:val="1A1A1A"/>
    </w:rPr>
  </w:style>
  <w:style w:customStyle="1" w:styleId="VerbatimChar" w:type="character">
    <w:name w:val="Verbatim Char"/>
    <w:basedOn w:val="BodyTextChar"/>
    <w:rPr>
      <w:rFonts w:ascii="Caladea" w:hAnsi="Caladea"/>
      <w:color w:val="1A1A1A"/>
      <w:sz w:val="22"/>
    </w:rPr>
  </w:style>
  <w:style w:customStyle="1" w:styleId="SectionNumber" w:type="character">
    <w:name w:val="Section Number"/>
    <w:basedOn w:val="BodyTextChar"/>
    <w:rPr>
      <w:rFonts w:ascii="Caladea" w:hAnsi="Caladea"/>
      <w:color w:val="1A1A1A"/>
    </w:rPr>
  </w:style>
  <w:style w:styleId="FootnoteReference" w:type="character">
    <w:name w:val="Footnote Reference"/>
    <w:basedOn w:val="BodyTextChar"/>
    <w:rPr>
      <w:rFonts w:ascii="Caladea" w:hAnsi="Caladea"/>
      <w:color w:val="1A1A1A"/>
      <w:vertAlign w:val="superscript"/>
    </w:rPr>
  </w:style>
  <w:style w:styleId="Hyperlink" w:type="character">
    <w:name w:val="Hyperlink"/>
    <w:basedOn w:val="BodyTextChar"/>
    <w:rPr>
      <w:rFonts w:ascii="Caladea" w:hAnsi="Caladea"/>
      <w:color w:val="1A1A1A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 w:ascii="Caladea" w:hAnsi="Caladea"/>
      <w:b w:val="0"/>
      <w:bCs w:val="0"/>
      <w:color w:val="1A1A1A"/>
    </w:rPr>
  </w:style>
  <w:style w:type="paragraph" w:customStyle="1" w:styleId="SourceCode">
    <w:name w:val="Source Code"/>
    <w:basedOn w:val="Normal"/>
    <w:link w:val="VerbatimChar"/>
    <w:pPr>
      <w:wordWrap w:val="off"/>
    </w:pPr>
    <w:rPr>
      <w:rFonts w:ascii="Caladea" w:hAnsi="Caladea"/>
      <w:color w:val="1A1A1A"/>
    </w:rPr>
  </w:style>
  <w:style w:type="character" w:customStyle="1" w:styleId="KeywordTok">
    <w:name w:val="KeywordTok"/>
    <w:basedOn w:val="VerbatimChar"/>
    <w:rPr>
      <w:rFonts w:ascii="Caladea" w:hAnsi="Caladea"/>
      <w:b/>
      <w:color w:val="1A1A1A"/>
    </w:rPr>
  </w:style>
  <w:style w:type="character" w:customStyle="1" w:styleId="DataTypeTok">
    <w:name w:val="DataTypeTok"/>
    <w:basedOn w:val="VerbatimChar"/>
    <w:rPr>
      <w:rFonts w:ascii="Caladea" w:hAnsi="Caladea"/>
      <w:color w:val="1A1A1A"/>
    </w:rPr>
  </w:style>
  <w:style w:type="character" w:customStyle="1" w:styleId="DecValTok">
    <w:name w:val="DecValTok"/>
    <w:basedOn w:val="VerbatimChar"/>
    <w:rPr>
      <w:rFonts w:ascii="Caladea" w:hAnsi="Caladea"/>
      <w:color w:val="1A1A1A"/>
    </w:rPr>
  </w:style>
  <w:style w:type="character" w:customStyle="1" w:styleId="BaseNTok">
    <w:name w:val="BaseNTok"/>
    <w:basedOn w:val="VerbatimChar"/>
    <w:rPr>
      <w:rFonts w:ascii="Caladea" w:hAnsi="Caladea"/>
      <w:color w:val="1A1A1A"/>
    </w:rPr>
  </w:style>
  <w:style w:type="character" w:customStyle="1" w:styleId="FloatTok">
    <w:name w:val="FloatTok"/>
    <w:basedOn w:val="VerbatimChar"/>
    <w:rPr>
      <w:rFonts w:ascii="Caladea" w:hAnsi="Caladea"/>
      <w:color w:val="1A1A1A"/>
    </w:rPr>
  </w:style>
  <w:style w:type="character" w:customStyle="1" w:styleId="ConstantTok">
    <w:name w:val="ConstantTok"/>
    <w:basedOn w:val="VerbatimChar"/>
    <w:rPr>
      <w:rFonts w:ascii="Caladea" w:hAnsi="Caladea"/>
      <w:color w:val="1A1A1A"/>
    </w:rPr>
  </w:style>
  <w:style w:type="character" w:customStyle="1" w:styleId="CharTok">
    <w:name w:val="CharTok"/>
    <w:basedOn w:val="VerbatimChar"/>
    <w:rPr>
      <w:rFonts w:ascii="Caladea" w:hAnsi="Caladea"/>
      <w:color w:val="1A1A1A"/>
    </w:rPr>
  </w:style>
  <w:style w:type="character" w:customStyle="1" w:styleId="SpecialCharTok">
    <w:name w:val="SpecialCharTok"/>
    <w:basedOn w:val="VerbatimChar"/>
    <w:rPr>
      <w:rFonts w:ascii="Caladea" w:hAnsi="Caladea"/>
      <w:color w:val="1A1A1A"/>
    </w:rPr>
  </w:style>
  <w:style w:type="character" w:customStyle="1" w:styleId="StringTok">
    <w:name w:val="StringTok"/>
    <w:basedOn w:val="VerbatimChar"/>
    <w:rPr>
      <w:rFonts w:ascii="Caladea" w:hAnsi="Caladea"/>
      <w:color w:val="1A1A1A"/>
    </w:rPr>
  </w:style>
  <w:style w:type="character" w:customStyle="1" w:styleId="VerbatimStringTok">
    <w:name w:val="VerbatimStringTok"/>
    <w:basedOn w:val="VerbatimChar"/>
    <w:rPr>
      <w:rFonts w:ascii="Caladea" w:hAnsi="Caladea"/>
      <w:color w:val="1A1A1A"/>
    </w:rPr>
  </w:style>
  <w:style w:type="character" w:customStyle="1" w:styleId="SpecialStringTok">
    <w:name w:val="SpecialStringTok"/>
    <w:basedOn w:val="VerbatimChar"/>
    <w:rPr>
      <w:rFonts w:ascii="Caladea" w:hAnsi="Caladea"/>
      <w:color w:val="1A1A1A"/>
    </w:rPr>
  </w:style>
  <w:style w:type="character" w:customStyle="1" w:styleId="ImportTok">
    <w:name w:val="ImportTok"/>
    <w:basedOn w:val="VerbatimChar"/>
    <w:rPr>
      <w:rFonts w:ascii="Caladea" w:hAnsi="Caladea"/>
      <w:b/>
      <w:color w:val="1A1A1A"/>
    </w:rPr>
  </w:style>
  <w:style w:type="character" w:customStyle="1" w:styleId="CommentTok">
    <w:name w:val="CommentTok"/>
    <w:basedOn w:val="VerbatimChar"/>
    <w:rPr>
      <w:rFonts w:ascii="Caladea" w:hAnsi="Caladea"/>
      <w:i/>
      <w:color w:val="1A1A1A"/>
    </w:rPr>
  </w:style>
  <w:style w:type="character" w:customStyle="1" w:styleId="DocumentationTok">
    <w:name w:val="DocumentationTok"/>
    <w:basedOn w:val="VerbatimChar"/>
    <w:rPr>
      <w:rFonts w:ascii="Caladea" w:hAnsi="Caladea"/>
      <w:i/>
      <w:color w:val="1A1A1A"/>
    </w:rPr>
  </w:style>
  <w:style w:type="character" w:customStyle="1" w:styleId="AnnotationTok">
    <w:name w:val="AnnotationTok"/>
    <w:basedOn w:val="VerbatimChar"/>
    <w:rPr>
      <w:rFonts w:ascii="Caladea" w:hAnsi="Caladea"/>
      <w:b/>
      <w:i/>
      <w:color w:val="1A1A1A"/>
    </w:rPr>
  </w:style>
  <w:style w:type="character" w:customStyle="1" w:styleId="CommentVarTok">
    <w:name w:val="CommentVarTok"/>
    <w:basedOn w:val="VerbatimChar"/>
    <w:rPr>
      <w:rFonts w:ascii="Caladea" w:hAnsi="Caladea"/>
      <w:b/>
      <w:i/>
      <w:color w:val="1A1A1A"/>
    </w:rPr>
  </w:style>
  <w:style w:type="character" w:customStyle="1" w:styleId="OtherTok">
    <w:name w:val="OtherTok"/>
    <w:basedOn w:val="VerbatimChar"/>
    <w:rPr>
      <w:rFonts w:ascii="Caladea" w:hAnsi="Caladea"/>
      <w:color w:val="1A1A1A"/>
    </w:rPr>
  </w:style>
  <w:style w:type="character" w:customStyle="1" w:styleId="FunctionTok">
    <w:name w:val="FunctionTok"/>
    <w:basedOn w:val="VerbatimChar"/>
    <w:rPr>
      <w:rFonts w:ascii="Caladea" w:hAnsi="Caladea"/>
      <w:color w:val="1A1A1A"/>
    </w:rPr>
  </w:style>
  <w:style w:type="character" w:customStyle="1" w:styleId="VariableTok">
    <w:name w:val="VariableTok"/>
    <w:basedOn w:val="VerbatimChar"/>
    <w:rPr>
      <w:rFonts w:ascii="Caladea" w:hAnsi="Caladea"/>
      <w:color w:val="1A1A1A"/>
    </w:rPr>
  </w:style>
  <w:style w:type="character" w:customStyle="1" w:styleId="ControlFlowTok">
    <w:name w:val="ControlFlowTok"/>
    <w:basedOn w:val="VerbatimChar"/>
    <w:rPr>
      <w:rFonts w:ascii="Caladea" w:hAnsi="Caladea"/>
      <w:b/>
      <w:color w:val="1A1A1A"/>
    </w:rPr>
  </w:style>
  <w:style w:type="character" w:customStyle="1" w:styleId="OperatorTok">
    <w:name w:val="OperatorTok"/>
    <w:basedOn w:val="VerbatimChar"/>
    <w:rPr>
      <w:rFonts w:ascii="Caladea" w:hAnsi="Caladea"/>
      <w:color w:val="1A1A1A"/>
    </w:rPr>
  </w:style>
  <w:style w:type="character" w:customStyle="1" w:styleId="BuiltInTok">
    <w:name w:val="BuiltInTok"/>
    <w:basedOn w:val="VerbatimChar"/>
    <w:rPr>
      <w:rFonts w:ascii="Caladea" w:hAnsi="Caladea"/>
      <w:color w:val="1A1A1A"/>
    </w:rPr>
  </w:style>
  <w:style w:type="character" w:customStyle="1" w:styleId="ExtensionTok">
    <w:name w:val="ExtensionTok"/>
    <w:basedOn w:val="VerbatimChar"/>
    <w:rPr>
      <w:rFonts w:ascii="Caladea" w:hAnsi="Caladea"/>
      <w:color w:val="1A1A1A"/>
    </w:rPr>
  </w:style>
  <w:style w:type="character" w:customStyle="1" w:styleId="PreprocessorTok">
    <w:name w:val="PreprocessorTok"/>
    <w:basedOn w:val="VerbatimChar"/>
    <w:rPr>
      <w:rFonts w:ascii="Caladea" w:hAnsi="Caladea"/>
      <w:color w:val="1A1A1A"/>
    </w:rPr>
  </w:style>
  <w:style w:type="character" w:customStyle="1" w:styleId="AttributeTok">
    <w:name w:val="AttributeTok"/>
    <w:basedOn w:val="VerbatimChar"/>
    <w:rPr>
      <w:rFonts w:ascii="Caladea" w:hAnsi="Caladea"/>
      <w:color w:val="1A1A1A"/>
    </w:rPr>
  </w:style>
  <w:style w:type="character" w:customStyle="1" w:styleId="RegionMarkerTok">
    <w:name w:val="RegionMarkerTok"/>
    <w:basedOn w:val="VerbatimChar"/>
    <w:rPr>
      <w:rFonts w:ascii="Caladea" w:hAnsi="Caladea"/>
      <w:color w:val="1A1A1A"/>
    </w:rPr>
  </w:style>
  <w:style w:type="character" w:customStyle="1" w:styleId="InformationTok">
    <w:name w:val="InformationTok"/>
    <w:basedOn w:val="VerbatimChar"/>
    <w:rPr>
      <w:rFonts w:ascii="Caladea" w:hAnsi="Caladea"/>
      <w:b/>
      <w:i/>
      <w:color w:val="1A1A1A"/>
    </w:rPr>
  </w:style>
  <w:style w:type="character" w:customStyle="1" w:styleId="WarningTok">
    <w:name w:val="WarningTok"/>
    <w:basedOn w:val="VerbatimChar"/>
    <w:rPr>
      <w:rFonts w:ascii="Caladea" w:hAnsi="Caladea"/>
      <w:b/>
      <w:i/>
      <w:color w:val="1A1A1A"/>
    </w:rPr>
  </w:style>
  <w:style w:type="character" w:customStyle="1" w:styleId="AlertTok">
    <w:name w:val="AlertTok"/>
    <w:basedOn w:val="VerbatimChar"/>
    <w:rPr>
      <w:rFonts w:ascii="Caladea" w:hAnsi="Caladea"/>
      <w:b/>
      <w:color w:val="1A1A1A"/>
    </w:rPr>
  </w:style>
  <w:style w:type="character" w:customStyle="1" w:styleId="ErrorTok">
    <w:name w:val="ErrorTok"/>
    <w:basedOn w:val="VerbatimChar"/>
    <w:rPr>
      <w:rFonts w:ascii="Caladea" w:hAnsi="Caladea"/>
      <w:b/>
      <w:color w:val="1A1A1A"/>
    </w:rPr>
  </w:style>
  <w:style w:type="character" w:customStyle="1" w:styleId="NormalTok">
    <w:name w:val="NormalTok"/>
    <w:basedOn w:val="VerbatimChar"/>
    <w:rPr>
      <w:rFonts w:ascii="Caladea" w:hAnsi="Caladea"/>
      <w:color w:val="1A1A1A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21" Type="http://schemas.openxmlformats.org/officeDocument/2006/relationships/hyperlink" Target="https://e-sbirka.gov.cz/sb/1985/133" TargetMode="External"/><Relationship Id="rId22" Type="http://schemas.openxmlformats.org/officeDocument/2006/relationships/hyperlink" Target="https://e-sbirka.gov.cz/sb/2001/246" TargetMode="External"/><Relationship Id="rId23" Type="http://schemas.openxmlformats.org/officeDocument/2006/relationships/hyperlink" Target="https://hzscr.gov.cz" TargetMode="External"/><Relationship Id="rId24" Type="http://schemas.openxmlformats.org/officeDocument/2006/relationships/hyperlink" Target="https://pozarniapka.cz" TargetMode="External"/><Relationship Id="rId25" Type="http://schemas.openxmlformats.org/officeDocument/2006/relationships/hyperlink" Target="mailto:info@pozarniapka.cz" TargetMode="External"/><Relationship Id="rId9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https://e-sbirka.gov.cz/sb/1985/133" TargetMode="External"/><Relationship Id="rId22" Type="http://schemas.openxmlformats.org/officeDocument/2006/relationships/hyperlink" Target="https://e-sbirka.gov.cz/sb/2001/246" TargetMode="External"/><Relationship Id="rId23" Type="http://schemas.openxmlformats.org/officeDocument/2006/relationships/hyperlink" Target="https://hzscr.gov.cz" TargetMode="External"/><Relationship Id="rId24" Type="http://schemas.openxmlformats.org/officeDocument/2006/relationships/hyperlink" Target="https://pozarniapka.cz" TargetMode="External"/><Relationship Id="rId25" Type="http://schemas.openxmlformats.org/officeDocument/2006/relationships/hyperlink" Target="mailto:info@pozarniapk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Požární apka</dc:creator>
  <dc:language>cs-CZ</dc:language>
  <cp:keywords/>
  <dcterms:created xsi:type="dcterms:W3CDTF">2026-09-07T15:32:40Z</dcterms:created>
  <dcterms:modified xsi:type="dcterms:W3CDTF">2026-09-07T15:32:40Z</dcterms:modified>
  <cp:lastModifiedBy>Požární apka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