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posouzení-požárního-nebezpečí"/>
    <w:p>
      <w:pPr>
        <w:pStyle w:val="Heading1"/>
        <w:widowControl/>
      </w:pPr>
      <w:r>
        <w:rPr>
          <w:lang w:val="cs-CZ"/>
        </w:rPr>
        <w:t xml:space="preserve">Posouzení požárního nebezpečí</w:t>
      </w:r>
    </w:p>
    <w:p>
      <w:pPr>
        <w:pStyle w:val="FirstParagraph"/>
        <w:widowControl/>
      </w:pPr>
      <w:r>
        <w:rPr>
          <w:b/>
          <w:bCs/>
          <w:lang w:val="cs-CZ"/>
        </w:rPr>
        <w:t xml:space="preserve">PPN · šablona s pokyny · verze 7. 9. 2026</w:t>
      </w:r>
    </w:p>
    <w:bookmarkStart w:id="9" w:name="jak-šablonu-použít"/>
    <w:p>
      <w:pPr>
        <w:pStyle w:val="Heading2"/>
        <w:widowControl/>
      </w:pPr>
      <w:r>
        <w:rPr>
          <w:lang w:val="cs-CZ"/>
        </w:rPr>
        <w:t xml:space="preserve">Jak šablonu použít</w:t>
      </w:r>
    </w:p>
    <w:p>
      <w:pPr>
        <w:pStyle w:val="FirstParagraph"/>
        <w:widowControl/>
      </w:pPr>
      <w:r>
        <w:rPr>
          <w:lang w:val="cs-CZ"/>
        </w:rPr>
        <w:t xml:space="preserve">PPN se zpracovává pro činnosti s vysokým požárním nebezpečím podle § 6a zákona č. 133/1985 Sb. Zpracování zajišťuje výhradně odborně způsobilá osoba (OZO); posouzení schvaluje orgán státního požárního dozoru. Podrobný obsah určují zejména § 16 a § 29 vyhlášky č. 246/2001 Sb.</w:t>
      </w:r>
    </w:p>
    <w:p>
      <w:pPr>
        <w:pStyle w:val="BodyText"/>
        <w:widowControl/>
      </w:pPr>
      <w:r>
        <w:rPr>
          <w:lang w:val="cs-CZ"/>
        </w:rPr>
        <w:t xml:space="preserve">Vyplňujte ve Wordu. Nahraďte pole [DOPLNIT: …] doloženými údaji a připojte rozbory a výpočty. Kurzívou jsou pokyny; před podáním je spolu s touto úvodní částí a závěrečnou nabídkou odstraňte. PDF slouží jako náhled. Rozsah kapitol přizpůsobte činnosti.</w:t>
      </w:r>
    </w:p>
    <w:bookmarkEnd w:id="9"/>
    <w:bookmarkStart w:id="10" w:name="titulní-údaje-a-rozsah"/>
    <w:p>
      <w:pPr>
        <w:pStyle w:val="Heading2"/>
        <w:widowControl/>
      </w:pPr>
      <w:r>
        <w:rPr>
          <w:lang w:val="cs-CZ"/>
        </w:rPr>
        <w:t xml:space="preserve">Titulní údaje a rozsah</w:t>
      </w:r>
    </w:p>
    <w:tbl>
      <w:tblPr>
        <w:tblStyle w:val="Table"/>
        <w:tblW w:type="auto" w:w="0"/>
        <w:tblLayout w:type="fixed"/>
        <w:tblLook w:firstRow="1" w:lastRow="0" w:firstColumn="0" w:lastColumn="0" w:noHBand="0" w:noVBand="0" w:val="0020"/>
      </w:tblPr>
      <w:tblGrid>
        <w:gridCol w:w="4932"/>
        <w:gridCol w:w="4932"/>
      </w:tblGrid>
      <w:tr>
        <w:trPr>
          <w:tblHeader w:val="on"/>
          <w:cantSplit/>
          <w:tblHeader/>
        </w:trPr>
        <w:tc>
          <w:tcPr>
            <w:tcW w:type="dxa" w:w="4932"/>
          </w:tcPr>
          <w:p>
            <w:pPr>
              <w:pStyle w:val="Compact"/>
              <w:keepNext/>
              <w:spacing w:before="60" w:after="80"/>
            </w:pPr>
            <w:r>
              <w:rPr>
                <w:rFonts w:ascii="Carlito" w:hAnsi="Carlito"/>
                <w:b/>
                <w:sz w:val="19"/>
                <w:lang w:val="cs-CZ"/>
              </w:rPr>
              <w:t xml:space="preserve">Údaj</w:t>
            </w:r>
          </w:p>
        </w:tc>
        <w:tc>
          <w:tcPr>
            <w:tcW w:type="dxa" w:w="4932"/>
          </w:tcPr>
          <w:p>
            <w:pPr>
              <w:pStyle w:val="Compact"/>
              <w:keepNext/>
              <w:spacing w:before="60" w:after="80"/>
            </w:pPr>
            <w:r>
              <w:rPr>
                <w:rFonts w:ascii="Carlito" w:hAnsi="Carlito"/>
                <w:b/>
                <w:sz w:val="19"/>
                <w:lang w:val="cs-CZ"/>
              </w:rPr>
              <w:t xml:space="preserve">Vyplňte</w:t>
            </w:r>
          </w:p>
        </w:tc>
      </w:tr>
      <w:tr>
        <w:trPr>
          <w:cantSplit/>
        </w:trPr>
        <w:tc>
          <w:tcPr>
            <w:tcW w:type="dxa" w:w="4932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Provozovatel</w:t>
            </w:r>
          </w:p>
        </w:tc>
        <w:tc>
          <w:tcPr>
            <w:tcW w:type="dxa" w:w="4932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[DOPLNIT: název / jméno, sídlo, IČO, zápis v rejstříku či evidenci]</w:t>
            </w:r>
          </w:p>
        </w:tc>
      </w:tr>
      <w:tr>
        <w:trPr>
          <w:cantSplit/>
        </w:trPr>
        <w:tc>
          <w:tcPr>
            <w:tcW w:type="dxa" w:w="4932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Osoba jednající za provozovatele</w:t>
            </w:r>
          </w:p>
        </w:tc>
        <w:tc>
          <w:tcPr>
            <w:tcW w:type="dxa" w:w="4932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[DOPLNIT: jméno a funkce; u podnikající fyzické osoby tato osoba nebo odpovědný zástupce]</w:t>
            </w:r>
          </w:p>
        </w:tc>
      </w:tr>
      <w:tr>
        <w:trPr>
          <w:cantSplit/>
        </w:trPr>
        <w:tc>
          <w:tcPr>
            <w:tcW w:type="dxa" w:w="4932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Posuzovaná činnost a místo</w:t>
            </w:r>
          </w:p>
        </w:tc>
        <w:tc>
          <w:tcPr>
            <w:tcW w:type="dxa" w:w="4932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[DOPLNIT: název, přesná adresa, budovy a provozy]</w:t>
            </w:r>
          </w:p>
        </w:tc>
      </w:tr>
      <w:tr>
        <w:trPr>
          <w:cantSplit/>
        </w:trPr>
        <w:tc>
          <w:tcPr>
            <w:tcW w:type="dxa" w:w="4932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Zahájení činnosti</w:t>
            </w:r>
          </w:p>
        </w:tc>
        <w:tc>
          <w:tcPr>
            <w:tcW w:type="dxa" w:w="4932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[DOPLNIT: předpokládaný termín; u historické činnosti datum zahájení]</w:t>
            </w:r>
          </w:p>
        </w:tc>
      </w:tr>
      <w:tr>
        <w:trPr>
          <w:cantSplit/>
        </w:trPr>
        <w:tc>
          <w:tcPr>
            <w:tcW w:type="dxa" w:w="4932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Zpracovatel</w:t>
            </w:r>
          </w:p>
        </w:tc>
        <w:tc>
          <w:tcPr>
            <w:tcW w:type="dxa" w:w="4932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[DOPLNIT: jméno, odborná způsobilost a číslo dokladu]</w:t>
            </w:r>
          </w:p>
        </w:tc>
      </w:tr>
      <w:tr>
        <w:trPr>
          <w:cantSplit/>
        </w:trPr>
        <w:tc>
          <w:tcPr>
            <w:tcW w:type="dxa" w:w="4932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Zpracovatel podnikatel</w:t>
            </w:r>
          </w:p>
        </w:tc>
        <w:tc>
          <w:tcPr>
            <w:tcW w:type="dxa" w:w="4932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[DOPLNIT: název / jméno, sídlo, IČO a údaj o evidenci, je-li relevantní]</w:t>
            </w:r>
          </w:p>
        </w:tc>
      </w:tr>
      <w:tr>
        <w:trPr>
          <w:cantSplit/>
        </w:trPr>
        <w:tc>
          <w:tcPr>
            <w:tcW w:type="dxa" w:w="4932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Prohlášení zpracovatele</w:t>
            </w:r>
          </w:p>
        </w:tc>
        <w:tc>
          <w:tcPr>
            <w:tcW w:type="dxa" w:w="4932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[DOPLNIT: prohlášení o odborné způsobilosti]</w:t>
            </w:r>
          </w:p>
        </w:tc>
      </w:tr>
      <w:tr>
        <w:trPr>
          <w:cantSplit/>
        </w:trPr>
        <w:tc>
          <w:tcPr>
            <w:tcW w:type="dxa" w:w="4932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Dílčí zpracovatelé a odpovědnost za celek</w:t>
            </w:r>
          </w:p>
        </w:tc>
        <w:tc>
          <w:tcPr>
            <w:tcW w:type="dxa" w:w="4932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[DOPLNIT při více zpracovatelích: stejné identifikační údaje, části a odpovědná osoba]</w:t>
            </w:r>
          </w:p>
        </w:tc>
      </w:tr>
      <w:tr>
        <w:trPr>
          <w:cantSplit/>
        </w:trPr>
        <w:tc>
          <w:tcPr>
            <w:tcW w:type="dxa" w:w="4932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Datum, verze, místo a rozsah účinnosti</w:t>
            </w:r>
          </w:p>
        </w:tc>
        <w:tc>
          <w:tcPr>
            <w:tcW w:type="dxa" w:w="4932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[DOPLNIT]</w:t>
            </w:r>
          </w:p>
        </w:tc>
      </w:tr>
    </w:tbl>
    <w:bookmarkEnd w:id="10"/>
    <w:bookmarkStart w:id="11" w:name="Xbc26fa3eb1a51c2dca2c7cd88ac355b1af65e71"/>
    <w:p>
      <w:pPr>
        <w:pStyle w:val="Heading2"/>
        <w:widowControl/>
      </w:pPr>
      <w:r>
        <w:rPr>
          <w:lang w:val="cs-CZ"/>
        </w:rPr>
        <w:t xml:space="preserve">1. Činnost a důvod začlenění</w:t>
      </w:r>
    </w:p>
    <w:p>
      <w:pPr>
        <w:pStyle w:val="FirstParagraph"/>
        <w:keepNext/>
        <w:widowControl/>
      </w:pPr>
      <w:r>
        <w:rPr>
          <w:i/>
          <w:iCs/>
          <w:lang w:val="cs-CZ"/>
        </w:rPr>
        <w:t xml:space="preserve">Popište provoz, technologii a kapacitu. Uveďte konkrétní písmeno § 4 odst. 3 zákona a doložte parametry, které je naplňují. Rozlište roční produkci a nejvyšší současné množství látek; započtení množství posuďte podle § 17 vyhlášky.</w:t>
      </w:r>
    </w:p>
    <w:p>
      <w:pPr>
        <w:pStyle w:val="BodyText"/>
        <w:widowControl/>
        <w:spacing w:after="200"/>
      </w:pPr>
      <w:r>
        <w:rPr>
          <w:lang w:val="cs-CZ"/>
        </w:rPr>
        <w:t xml:space="preserve">[DOPLNIT: činnost, ustanovení, hodnoty, jednotky a zdroje]</w:t>
      </w:r>
    </w:p>
    <w:bookmarkEnd w:id="11"/>
    <w:bookmarkStart w:id="12" w:name="Xb5bae926154ce43c0ae65646d6d84c4deec9326"/>
    <w:p>
      <w:pPr>
        <w:pStyle w:val="Heading2"/>
        <w:widowControl/>
      </w:pPr>
      <w:r>
        <w:rPr>
          <w:lang w:val="cs-CZ"/>
        </w:rPr>
        <w:t xml:space="preserve">2. Použité podklady</w:t>
      </w:r>
    </w:p>
    <w:p>
      <w:pPr>
        <w:pStyle w:val="FirstParagraph"/>
        <w:keepNext/>
        <w:widowControl/>
      </w:pPr>
      <w:r>
        <w:rPr>
          <w:i/>
          <w:iCs/>
          <w:lang w:val="cs-CZ"/>
        </w:rPr>
        <w:t xml:space="preserve">Přesně identifikujte PBŘ a změny, výkresy, bezpečnostní listy, technologickou dokumentaci, prohlídku, provozní údaje, kontroly zařízení, normy a místní metodiky. Uveďte datum a revizi; v textu odkazujte na stranu či část.</w:t>
      </w:r>
    </w:p>
    <w:tbl>
      <w:tblPr>
        <w:tblStyle w:val="Table"/>
        <w:tblW w:type="auto" w:w="0"/>
        <w:tblLayout w:type="fixed"/>
        <w:tblLook w:firstRow="1" w:lastRow="0" w:firstColumn="0" w:lastColumn="0" w:noHBand="0" w:noVBand="0" w:val="0020"/>
      </w:tblPr>
      <w:tblGrid>
        <w:gridCol w:w="3288"/>
        <w:gridCol w:w="3288"/>
        <w:gridCol w:w="3288"/>
      </w:tblGrid>
      <w:tr>
        <w:trPr>
          <w:tblHeader w:val="on"/>
          <w:cantSplit/>
          <w:tblHeader/>
        </w:trPr>
        <w:tc>
          <w:tcPr>
            <w:tcW w:type="dxa" w:w="3288"/>
          </w:tcPr>
          <w:p>
            <w:pPr>
              <w:pStyle w:val="Compact"/>
              <w:keepNext/>
              <w:spacing w:before="60" w:after="80"/>
            </w:pPr>
            <w:r>
              <w:rPr>
                <w:rFonts w:ascii="Carlito" w:hAnsi="Carlito"/>
                <w:b/>
                <w:sz w:val="19"/>
                <w:lang w:val="cs-CZ"/>
              </w:rPr>
              <w:t xml:space="preserve">Označení podkladu</w:t>
            </w:r>
          </w:p>
        </w:tc>
        <w:tc>
          <w:tcPr>
            <w:tcW w:type="dxa" w:w="3288"/>
          </w:tcPr>
          <w:p>
            <w:pPr>
              <w:pStyle w:val="Compact"/>
              <w:keepNext/>
              <w:spacing w:before="60" w:after="80"/>
            </w:pPr>
            <w:r>
              <w:rPr>
                <w:rFonts w:ascii="Carlito" w:hAnsi="Carlito"/>
                <w:b/>
                <w:sz w:val="19"/>
                <w:lang w:val="cs-CZ"/>
              </w:rPr>
              <w:t xml:space="preserve">Název, autor, datum / revize</w:t>
            </w:r>
          </w:p>
        </w:tc>
        <w:tc>
          <w:tcPr>
            <w:tcW w:type="dxa" w:w="3288"/>
          </w:tcPr>
          <w:p>
            <w:pPr>
              <w:pStyle w:val="Compact"/>
              <w:keepNext/>
              <w:spacing w:before="60" w:after="80"/>
            </w:pPr>
            <w:r>
              <w:rPr>
                <w:rFonts w:ascii="Carlito" w:hAnsi="Carlito"/>
                <w:b/>
                <w:sz w:val="19"/>
                <w:lang w:val="cs-CZ"/>
              </w:rPr>
              <w:t xml:space="preserve">Použitá část</w:t>
            </w:r>
          </w:p>
        </w:tc>
      </w:tr>
      <w:tr>
        <w:trPr>
          <w:cantSplit/>
        </w:trPr>
        <w:tc>
          <w:tcPr>
            <w:tcW w:type="dxa" w:w="3288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[DOPLNIT]</w:t>
            </w:r>
          </w:p>
        </w:tc>
        <w:tc>
          <w:tcPr>
            <w:tcW w:type="dxa" w:w="3288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[DOPLNIT]</w:t>
            </w:r>
          </w:p>
        </w:tc>
        <w:tc>
          <w:tcPr>
            <w:tcW w:type="dxa" w:w="3288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[DOPLNIT]</w:t>
            </w:r>
          </w:p>
        </w:tc>
      </w:tr>
    </w:tbl>
    <w:bookmarkEnd w:id="12"/>
    <w:bookmarkStart w:id="13" w:name="Xe2e1b2b21381c46845ed7ffc13dc9a700cabe18"/>
    <w:p>
      <w:pPr>
        <w:pStyle w:val="Heading2"/>
        <w:widowControl/>
      </w:pPr>
      <w:r>
        <w:rPr>
          <w:lang w:val="cs-CZ"/>
        </w:rPr>
        <w:t xml:space="preserve">3. Objekt, technologie a skutečný stav</w:t>
      </w:r>
    </w:p>
    <w:p>
      <w:pPr>
        <w:pStyle w:val="FirstParagraph"/>
        <w:keepNext/>
        <w:widowControl/>
      </w:pPr>
      <w:r>
        <w:rPr>
          <w:i/>
          <w:iCs/>
          <w:lang w:val="cs-CZ"/>
        </w:rPr>
        <w:t xml:space="preserve">Konstrukce, podlaží, požární úseky, odstupy, provozní režimy, druhy a množství látek, požárně bezpečnostní zařízení a signalizace technologických stavů. Porovnejte skutečnost s požadovaným stavem podle dokumentace, předpisů a návodů; vyhodnoťte rozdíly (§ 16 odst. 3 písm. a)).</w:t>
      </w:r>
    </w:p>
    <w:p>
      <w:pPr>
        <w:pStyle w:val="BodyText"/>
        <w:widowControl/>
        <w:spacing w:after="200"/>
      </w:pPr>
      <w:r>
        <w:rPr>
          <w:lang w:val="cs-CZ"/>
        </w:rPr>
        <w:t xml:space="preserve">[DOPLNIT: charakteristiky, porovnání a zjištěné rozdíly]</w:t>
      </w:r>
    </w:p>
    <w:bookmarkEnd w:id="13"/>
    <w:bookmarkStart w:id="14" w:name="Xa0e4ae7c2ae03d4d719f8325e8a74bc972fb565"/>
    <w:p>
      <w:pPr>
        <w:pStyle w:val="Heading2"/>
        <w:widowControl/>
      </w:pPr>
      <w:r>
        <w:rPr>
          <w:lang w:val="cs-CZ"/>
        </w:rPr>
        <w:t xml:space="preserve">4. Vznik, šíření a souběh rizik</w:t>
      </w:r>
    </w:p>
    <w:p>
      <w:pPr>
        <w:pStyle w:val="FirstParagraph"/>
        <w:keepNext w:val="0"/>
        <w:widowControl/>
      </w:pPr>
      <w:r>
        <w:rPr>
          <w:i/>
          <w:iCs/>
          <w:lang w:val="cs-CZ"/>
        </w:rPr>
        <w:t xml:space="preserve">Vyhodnoťte zdroje zapálení a rozhodné vlastnosti látek včetně zdůvodnění výběru. Doplňte cesty šíření, riziko výbuchu a vzájemné působení rizik. Posuďte i sousední provozy a havárie dodávek energie, chlazení, surovin či zabezpečovacích systémů (§ 16 odst. 1 a odst. 3 písm. b), d)).</w:t>
      </w:r>
    </w:p>
    <w:p>
      <w:pPr>
        <w:pStyle w:val="BodyText"/>
        <w:keepNext/>
        <w:widowControl/>
      </w:pPr>
      <w:r>
        <w:rPr>
          <w:i/>
          <w:iCs/>
          <w:lang w:val="cs-CZ"/>
        </w:rPr>
        <w:t xml:space="preserve">Je-li instalována fotovoltaika, bateriové úložiště nebo dobíjení, popište zapojení, vypnutí a části, které zůstávají pod napětím.</w:t>
      </w:r>
    </w:p>
    <w:p>
      <w:pPr>
        <w:pStyle w:val="BodyText"/>
        <w:widowControl/>
        <w:spacing w:after="200"/>
      </w:pPr>
      <w:r>
        <w:rPr>
          <w:lang w:val="cs-CZ"/>
        </w:rPr>
        <w:t xml:space="preserve">[DOPLNIT: rizika, umístění, souběhy a opora v podkladech]</w:t>
      </w:r>
    </w:p>
    <w:bookmarkEnd w:id="14"/>
    <w:bookmarkStart w:id="15" w:name="X6a4ca138c644e3ce1fc30cf3cff53ccddfd38c5"/>
    <w:p>
      <w:pPr>
        <w:pStyle w:val="Heading2"/>
        <w:widowControl/>
      </w:pPr>
      <w:r>
        <w:rPr>
          <w:lang w:val="cs-CZ"/>
        </w:rPr>
        <w:t xml:space="preserve">5. Evakuace a záchranné práce</w:t>
      </w:r>
    </w:p>
    <w:p>
      <w:pPr>
        <w:pStyle w:val="FirstParagraph"/>
        <w:keepNext/>
        <w:widowControl/>
      </w:pPr>
      <w:r>
        <w:rPr>
          <w:i/>
          <w:iCs/>
          <w:lang w:val="cs-CZ"/>
        </w:rPr>
        <w:t xml:space="preserve">Vyhodnoťte osoby po směnách včetně návštěvníků, osoby vyžadující pomoc, zvířata a majetek. Posuďte průchodnost a kapacitu únikových cest, varování, evakuaci a záchranu. Rozlište vlastní síly provozovatele a pomoc jednotek PO.</w:t>
      </w:r>
    </w:p>
    <w:p>
      <w:pPr>
        <w:pStyle w:val="BodyText"/>
        <w:widowControl/>
        <w:spacing w:after="200"/>
      </w:pPr>
      <w:r>
        <w:rPr>
          <w:lang w:val="cs-CZ"/>
        </w:rPr>
        <w:t xml:space="preserve">[DOPLNIT: ohrožení, cesty, pomoc, organizace a omezení]</w:t>
      </w:r>
    </w:p>
    <w:bookmarkEnd w:id="15"/>
    <w:bookmarkStart w:id="16" w:name="X748b526c2d01545db0f0a0064d845d36f9e6286"/>
    <w:p>
      <w:pPr>
        <w:pStyle w:val="Heading2"/>
        <w:widowControl/>
      </w:pPr>
      <w:r>
        <w:rPr>
          <w:lang w:val="cs-CZ"/>
        </w:rPr>
        <w:t xml:space="preserve">6. Nejsložitější varianta a účinná likvidace</w:t>
      </w:r>
    </w:p>
    <w:p>
      <w:pPr>
        <w:pStyle w:val="FirstParagraph"/>
        <w:keepNext/>
        <w:widowControl/>
      </w:pPr>
      <w:r>
        <w:rPr>
          <w:i/>
          <w:iCs/>
          <w:lang w:val="cs-CZ"/>
        </w:rPr>
        <w:t xml:space="preserve">Porovnejte reálné scénáře a zdůvodněte rozhodnou variantu. Uveďte místo vzniku, časový a prostorový průběh, vstupy a metodu výpočtu. Dobu rozvoje požáru sledujte od vzniku do zahájení zásahu: zjištění, ohlášení, výjezd, jízdu a rozvinutí. Samotný dojezd první jednotky není celou dobou rozvoje.</w:t>
      </w:r>
    </w:p>
    <w:p>
      <w:pPr>
        <w:pStyle w:val="BodyText"/>
        <w:widowControl/>
        <w:spacing w:after="200"/>
      </w:pPr>
      <w:r>
        <w:rPr>
          <w:lang w:val="cs-CZ"/>
        </w:rPr>
        <w:t xml:space="preserve">[DOPLNIT: scénáře, volba varianty, výpočty a přílohy]</w:t>
      </w:r>
    </w:p>
    <w:p>
      <w:pPr>
        <w:pStyle w:val="BodyText"/>
        <w:keepNext/>
        <w:widowControl/>
      </w:pPr>
      <w:r>
        <w:rPr>
          <w:i/>
          <w:iCs/>
          <w:lang w:val="cs-CZ"/>
        </w:rPr>
        <w:t xml:space="preserve">Doložte proudy, průtok a zásobu hasiv, osoby, ochranné prostředky a techniku. Posuďte včasné zjištění a ohlášení, účinnost a provozuschopnost požárně bezpečnostních zařízení a potřebné počty a druhy hasicích přístrojů proti skutečnosti. Vyhodnoťte dostupnost sil v čase; z pouhého počtu proudů nelze určit stupeň poplachu.</w:t>
      </w:r>
    </w:p>
    <w:tbl>
      <w:tblPr>
        <w:tblStyle w:val="Table"/>
        <w:tblW w:type="auto" w:w="0"/>
        <w:tblLayout w:type="fixed"/>
        <w:tblLook w:firstRow="1" w:lastRow="0" w:firstColumn="0" w:lastColumn="0" w:noHBand="0" w:noVBand="0" w:val="0020"/>
      </w:tblPr>
      <w:tblGrid>
        <w:gridCol w:w="3288"/>
        <w:gridCol w:w="3288"/>
        <w:gridCol w:w="3288"/>
      </w:tblGrid>
      <w:tr>
        <w:trPr>
          <w:tblHeader w:val="on"/>
          <w:cantSplit/>
          <w:tblHeader/>
        </w:trPr>
        <w:tc>
          <w:tcPr>
            <w:tcW w:type="dxa" w:w="3288"/>
          </w:tcPr>
          <w:p>
            <w:pPr>
              <w:pStyle w:val="Compact"/>
              <w:keepNext/>
              <w:spacing w:before="60" w:after="80"/>
            </w:pPr>
            <w:r>
              <w:rPr>
                <w:rFonts w:ascii="Carlito" w:hAnsi="Carlito"/>
                <w:b/>
                <w:sz w:val="19"/>
                <w:lang w:val="cs-CZ"/>
              </w:rPr>
              <w:t xml:space="preserve">Potřeba pro zvolenou variantu</w:t>
            </w:r>
          </w:p>
        </w:tc>
        <w:tc>
          <w:tcPr>
            <w:tcW w:type="dxa" w:w="3288"/>
          </w:tcPr>
          <w:p>
            <w:pPr>
              <w:pStyle w:val="Compact"/>
              <w:keepNext/>
              <w:spacing w:before="60" w:after="80"/>
            </w:pPr>
            <w:r>
              <w:rPr>
                <w:rFonts w:ascii="Carlito" w:hAnsi="Carlito"/>
                <w:b/>
                <w:sz w:val="19"/>
                <w:lang w:val="cs-CZ"/>
              </w:rPr>
              <w:t xml:space="preserve">Dostupné prostředky a čas</w:t>
            </w:r>
          </w:p>
        </w:tc>
        <w:tc>
          <w:tcPr>
            <w:tcW w:type="dxa" w:w="3288"/>
          </w:tcPr>
          <w:p>
            <w:pPr>
              <w:pStyle w:val="Compact"/>
              <w:keepNext/>
              <w:spacing w:before="60" w:after="80"/>
            </w:pPr>
            <w:r>
              <w:rPr>
                <w:rFonts w:ascii="Carlito" w:hAnsi="Carlito"/>
                <w:b/>
                <w:sz w:val="19"/>
                <w:lang w:val="cs-CZ"/>
              </w:rPr>
              <w:t xml:space="preserve">Rozdíl a zajištění</w:t>
            </w:r>
          </w:p>
        </w:tc>
      </w:tr>
      <w:tr>
        <w:trPr>
          <w:cantSplit/>
        </w:trPr>
        <w:tc>
          <w:tcPr>
            <w:tcW w:type="dxa" w:w="3288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[DOPLNIT: lidé, technika, voda, speciální hasiva]</w:t>
            </w:r>
          </w:p>
        </w:tc>
        <w:tc>
          <w:tcPr>
            <w:tcW w:type="dxa" w:w="3288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[DOPLNIT: zdroj]</w:t>
            </w:r>
          </w:p>
        </w:tc>
        <w:tc>
          <w:tcPr>
            <w:tcW w:type="dxa" w:w="3288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[DOPLNIT]</w:t>
            </w:r>
          </w:p>
        </w:tc>
      </w:tr>
    </w:tbl>
    <w:p>
      <w:pPr>
        <w:pStyle w:val="BodyText"/>
        <w:keepNext w:val="0"/>
        <w:widowControl/>
      </w:pPr>
      <w:r>
        <w:rPr>
          <w:i/>
          <w:iCs/>
          <w:lang w:val="cs-CZ"/>
        </w:rPr>
        <w:t xml:space="preserve">Rozbor likvidace podle § 16 odst. 3 písm. e) lze nahradit DZP za podmínek § 16 odst. 6; pak je DZP nedílnou součástí PPN. Uveďte její přesnou verzi a přílohu.</w:t>
      </w:r>
    </w:p>
    <w:bookmarkEnd w:id="16"/>
    <w:bookmarkStart w:id="17" w:name="X66f33ac2b4b51aee664ad731267b71ca42408e7"/>
    <w:p>
      <w:pPr>
        <w:pStyle w:val="Heading2"/>
        <w:widowControl/>
      </w:pPr>
      <w:r>
        <w:rPr>
          <w:lang w:val="cs-CZ"/>
        </w:rPr>
        <w:t xml:space="preserve">7. Možné následky požáru</w:t>
      </w:r>
    </w:p>
    <w:p>
      <w:pPr>
        <w:pStyle w:val="FirstParagraph"/>
        <w:keepNext/>
        <w:widowControl/>
      </w:pPr>
      <w:r>
        <w:rPr>
          <w:i/>
          <w:iCs/>
          <w:lang w:val="cs-CZ"/>
        </w:rPr>
        <w:t xml:space="preserve">Rozumně předvídatelné následky pro osoby, zvířata a majetek: poškození konstrukcí, tepelné účinky, toxické zplodiny, únik látek a dopady na okolí, komunikace a technická zařízení (§ 16 odst. 3 písm. f)).</w:t>
      </w:r>
    </w:p>
    <w:p>
      <w:pPr>
        <w:pStyle w:val="BodyText"/>
        <w:widowControl/>
        <w:spacing w:after="200"/>
      </w:pPr>
      <w:r>
        <w:rPr>
          <w:lang w:val="cs-CZ"/>
        </w:rPr>
        <w:t xml:space="preserve">[DOPLNIT: následky scénářů a jejich rozsah]</w:t>
      </w:r>
    </w:p>
    <w:bookmarkEnd w:id="17"/>
    <w:bookmarkStart w:id="18" w:name="X889c3e813f2c6e9c342b0a02c59e7a2eee153d2"/>
    <w:p>
      <w:pPr>
        <w:pStyle w:val="Heading2"/>
        <w:widowControl/>
      </w:pPr>
      <w:r>
        <w:rPr>
          <w:lang w:val="cs-CZ"/>
        </w:rPr>
        <w:t xml:space="preserve">8. Systém řízení požární ochrany</w:t>
      </w:r>
    </w:p>
    <w:p>
      <w:pPr>
        <w:pStyle w:val="FirstParagraph"/>
        <w:keepNext/>
        <w:widowControl/>
      </w:pPr>
      <w:r>
        <w:rPr>
          <w:i/>
          <w:iCs/>
          <w:lang w:val="cs-CZ"/>
        </w:rPr>
        <w:t xml:space="preserve">Pravomoci a odpovědnost při běžném, omezeném i mimopracovním provozu; příprava na mimořádné situace, varování a spojení, hlídky, školení a odborná příprava, údržba a kontroly. Vyhodnoťte potřebu vlastní jednotky PO a technického vybavení.</w:t>
      </w:r>
    </w:p>
    <w:p>
      <w:pPr>
        <w:pStyle w:val="BodyText"/>
        <w:widowControl/>
        <w:spacing w:after="200"/>
      </w:pPr>
      <w:r>
        <w:rPr>
          <w:lang w:val="cs-CZ"/>
        </w:rPr>
        <w:t xml:space="preserve">[DOPLNIT: organizace, osoby, postupy a návazné dokumenty]</w:t>
      </w:r>
    </w:p>
    <w:bookmarkEnd w:id="18"/>
    <w:bookmarkStart w:id="19" w:name="Xbde0cb0b80e5c15d1ea47dc3f92aad0b4a1e2db"/>
    <w:p>
      <w:pPr>
        <w:pStyle w:val="Heading2"/>
        <w:widowControl/>
      </w:pPr>
      <w:r>
        <w:rPr>
          <w:lang w:val="cs-CZ"/>
        </w:rPr>
        <w:t xml:space="preserve">9. Opatření a lhůty</w:t>
      </w:r>
    </w:p>
    <w:p>
      <w:pPr>
        <w:pStyle w:val="FirstParagraph"/>
        <w:keepNext/>
        <w:widowControl/>
      </w:pPr>
      <w:r>
        <w:rPr>
          <w:i/>
          <w:iCs/>
          <w:lang w:val="cs-CZ"/>
        </w:rPr>
        <w:t xml:space="preserve">Opatření spojte s konkrétním zjištěním. Stanovte obsah, odpovědnou osobu, termín a doložení splnění. Technické řešení a intervaly kontrol odvoďte od rozboru, dokumentace a požadavků pro dané zařízení.</w:t>
      </w:r>
    </w:p>
    <w:tbl>
      <w:tblPr>
        <w:tblStyle w:val="Table"/>
        <w:tblW w:type="auto" w:w="0"/>
        <w:tblLayout w:type="fixed"/>
        <w:tblLook w:firstRow="1" w:lastRow="0" w:firstColumn="0" w:lastColumn="0" w:noHBand="0" w:noVBand="0" w:val="0020"/>
      </w:tblPr>
      <w:tblGrid>
        <w:gridCol w:w="2466"/>
        <w:gridCol w:w="2466"/>
        <w:gridCol w:w="2466"/>
        <w:gridCol w:w="2466"/>
      </w:tblGrid>
      <w:tr>
        <w:trPr>
          <w:tblHeader w:val="on"/>
          <w:cantSplit/>
          <w:tblHeader/>
        </w:trPr>
        <w:tc>
          <w:tcPr>
            <w:tcW w:type="dxa" w:w="2466"/>
          </w:tcPr>
          <w:p>
            <w:pPr>
              <w:pStyle w:val="Compact"/>
              <w:keepNext/>
              <w:spacing w:before="60" w:after="80"/>
            </w:pPr>
            <w:r>
              <w:rPr>
                <w:rFonts w:ascii="Carlito" w:hAnsi="Carlito"/>
                <w:b/>
                <w:sz w:val="19"/>
                <w:lang w:val="cs-CZ"/>
              </w:rPr>
              <w:t xml:space="preserve">Zjištění</w:t>
            </w:r>
          </w:p>
        </w:tc>
        <w:tc>
          <w:tcPr>
            <w:tcW w:type="dxa" w:w="2466"/>
          </w:tcPr>
          <w:p>
            <w:pPr>
              <w:pStyle w:val="Compact"/>
              <w:keepNext/>
              <w:spacing w:before="60" w:after="80"/>
            </w:pPr>
            <w:r>
              <w:rPr>
                <w:rFonts w:ascii="Carlito" w:hAnsi="Carlito"/>
                <w:b/>
                <w:sz w:val="19"/>
                <w:lang w:val="cs-CZ"/>
              </w:rPr>
              <w:t xml:space="preserve">Opatření</w:t>
            </w:r>
          </w:p>
        </w:tc>
        <w:tc>
          <w:tcPr>
            <w:tcW w:type="dxa" w:w="2466"/>
          </w:tcPr>
          <w:p>
            <w:pPr>
              <w:pStyle w:val="Compact"/>
              <w:keepNext/>
              <w:spacing w:before="60" w:after="80"/>
            </w:pPr>
            <w:r>
              <w:rPr>
                <w:rFonts w:ascii="Carlito" w:hAnsi="Carlito"/>
                <w:b/>
                <w:sz w:val="19"/>
                <w:lang w:val="cs-CZ"/>
              </w:rPr>
              <w:t xml:space="preserve">Odpovídá</w:t>
            </w:r>
          </w:p>
        </w:tc>
        <w:tc>
          <w:tcPr>
            <w:tcW w:type="dxa" w:w="2466"/>
          </w:tcPr>
          <w:p>
            <w:pPr>
              <w:pStyle w:val="Compact"/>
              <w:keepNext/>
              <w:spacing w:before="60" w:after="80"/>
            </w:pPr>
            <w:r>
              <w:rPr>
                <w:rFonts w:ascii="Carlito" w:hAnsi="Carlito"/>
                <w:b/>
                <w:sz w:val="19"/>
                <w:lang w:val="cs-CZ"/>
              </w:rPr>
              <w:t xml:space="preserve">Termín a doklad splnění</w:t>
            </w:r>
          </w:p>
        </w:tc>
      </w:tr>
      <w:tr>
        <w:trPr>
          <w:cantSplit/>
        </w:trPr>
        <w:tc>
          <w:tcPr>
            <w:tcW w:type="dxa" w:w="2466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[DOPLNIT]</w:t>
            </w:r>
          </w:p>
        </w:tc>
        <w:tc>
          <w:tcPr>
            <w:tcW w:type="dxa" w:w="2466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[DOPLNIT]</w:t>
            </w:r>
          </w:p>
        </w:tc>
        <w:tc>
          <w:tcPr>
            <w:tcW w:type="dxa" w:w="2466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[DOPLNIT]</w:t>
            </w:r>
          </w:p>
        </w:tc>
        <w:tc>
          <w:tcPr>
            <w:tcW w:type="dxa" w:w="2466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[DOPLNIT]</w:t>
            </w:r>
          </w:p>
        </w:tc>
      </w:tr>
    </w:tbl>
    <w:bookmarkEnd w:id="19"/>
    <w:bookmarkStart w:id="20" w:name="X49fade15edc41f5c41987c1fdaae78a4c8dc73f"/>
    <w:p>
      <w:pPr>
        <w:pStyle w:val="Heading2"/>
        <w:widowControl/>
      </w:pPr>
      <w:r>
        <w:rPr>
          <w:lang w:val="cs-CZ"/>
        </w:rPr>
        <w:t xml:space="preserve">10. Závěr a stanovisko předkladatele</w:t>
      </w:r>
    </w:p>
    <w:p>
      <w:pPr>
        <w:pStyle w:val="FirstParagraph"/>
        <w:widowControl/>
        <w:spacing w:after="200"/>
      </w:pPr>
      <w:r>
        <w:rPr>
          <w:lang w:val="cs-CZ"/>
        </w:rPr>
        <w:t xml:space="preserve">[DOPLNIT: rozhodná rizika, podmínky provozu a návaznost opatření]</w:t>
      </w:r>
    </w:p>
    <w:p>
      <w:pPr>
        <w:pStyle w:val="BodyText"/>
        <w:widowControl/>
        <w:spacing w:after="200"/>
      </w:pPr>
      <w:r>
        <w:rPr>
          <w:lang w:val="cs-CZ"/>
        </w:rPr>
        <w:t xml:space="preserve">[DOPLNIT: stanovisko předkladatele k opatřením a jejich zajištění]</w:t>
      </w:r>
    </w:p>
    <w:bookmarkEnd w:id="20"/>
    <w:bookmarkStart w:id="21" w:name="podpisy-a-evidence-schválení"/>
    <w:p>
      <w:pPr>
        <w:pStyle w:val="Heading2"/>
        <w:widowControl/>
      </w:pPr>
      <w:r>
        <w:rPr>
          <w:lang w:val="cs-CZ"/>
        </w:rPr>
        <w:t xml:space="preserve">Podpisy a evidence schválení</w:t>
      </w:r>
    </w:p>
    <w:tbl>
      <w:tblPr>
        <w:tblStyle w:val="Table"/>
        <w:tblW w:type="auto" w:w="0"/>
        <w:tblLayout w:type="fixed"/>
        <w:tblLook w:firstRow="1" w:lastRow="0" w:firstColumn="0" w:lastColumn="0" w:noHBand="0" w:noVBand="0" w:val="0020"/>
      </w:tblPr>
      <w:tblGrid>
        <w:gridCol w:w="4932"/>
        <w:gridCol w:w="4932"/>
      </w:tblGrid>
      <w:tr>
        <w:trPr>
          <w:tblHeader w:val="on"/>
          <w:cantSplit/>
          <w:tblHeader/>
        </w:trPr>
        <w:tc>
          <w:tcPr>
            <w:tcW w:type="dxa" w:w="4932"/>
          </w:tcPr>
          <w:p>
            <w:pPr>
              <w:pStyle w:val="Compact"/>
              <w:keepNext/>
              <w:spacing w:before="60" w:after="80"/>
            </w:pPr>
            <w:r>
              <w:rPr>
                <w:rFonts w:ascii="Carlito" w:hAnsi="Carlito"/>
                <w:b/>
                <w:sz w:val="19"/>
                <w:lang w:val="cs-CZ"/>
              </w:rPr>
              <w:t xml:space="preserve">Údaj</w:t>
            </w:r>
          </w:p>
        </w:tc>
        <w:tc>
          <w:tcPr>
            <w:tcW w:type="dxa" w:w="4932"/>
          </w:tcPr>
          <w:p>
            <w:pPr>
              <w:pStyle w:val="Compact"/>
              <w:keepNext/>
              <w:spacing w:before="60" w:after="80"/>
            </w:pPr>
            <w:r>
              <w:rPr>
                <w:rFonts w:ascii="Carlito" w:hAnsi="Carlito"/>
                <w:b/>
                <w:sz w:val="19"/>
                <w:lang w:val="cs-CZ"/>
              </w:rPr>
              <w:t xml:space="preserve">Vyplňte</w:t>
            </w:r>
          </w:p>
        </w:tc>
      </w:tr>
      <w:tr>
        <w:trPr>
          <w:cantSplit/>
        </w:trPr>
        <w:tc>
          <w:tcPr>
            <w:tcW w:type="dxa" w:w="4932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Zpracovatel OZO</w:t>
            </w:r>
          </w:p>
        </w:tc>
        <w:tc>
          <w:tcPr>
            <w:tcW w:type="dxa" w:w="4932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[DOPLNIT: jméno, datum, podpis]</w:t>
            </w:r>
          </w:p>
        </w:tc>
      </w:tr>
      <w:tr>
        <w:trPr>
          <w:cantSplit/>
        </w:trPr>
        <w:tc>
          <w:tcPr>
            <w:tcW w:type="dxa" w:w="4932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Schválení za provozovatele podle § 40 odst. 3</w:t>
            </w:r>
          </w:p>
        </w:tc>
        <w:tc>
          <w:tcPr>
            <w:tcW w:type="dxa" w:w="4932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[DOPLNIT: oprávněná osoba, funkce, datum, podpis]</w:t>
            </w:r>
          </w:p>
        </w:tc>
      </w:tr>
      <w:tr>
        <w:trPr>
          <w:cantSplit/>
        </w:trPr>
        <w:tc>
          <w:tcPr>
            <w:tcW w:type="dxa" w:w="4932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Rozhodnutí orgánu státního požárního dozoru</w:t>
            </w:r>
          </w:p>
        </w:tc>
        <w:tc>
          <w:tcPr>
            <w:tcW w:type="dxa" w:w="4932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[DOPLNIT až po vydání: orgán, č. j., datum]</w:t>
            </w:r>
          </w:p>
        </w:tc>
      </w:tr>
      <w:tr>
        <w:trPr>
          <w:cantSplit/>
        </w:trPr>
        <w:tc>
          <w:tcPr>
            <w:tcW w:type="dxa" w:w="4932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Přílohy a místo uložení</w:t>
            </w:r>
          </w:p>
        </w:tc>
        <w:tc>
          <w:tcPr>
            <w:tcW w:type="dxa" w:w="4932"/>
          </w:tcPr>
          <w:p>
            <w:pPr>
              <w:pStyle w:val="Compact"/>
              <w:keepNext w:val="0"/>
              <w:spacing w:before="60" w:after="80"/>
            </w:pPr>
            <w:r>
              <w:rPr>
                <w:sz w:val="19"/>
                <w:lang w:val="cs-CZ"/>
              </w:rPr>
              <w:t xml:space="preserve">[DOPLNIT: seznam a verze]</w:t>
            </w:r>
          </w:p>
        </w:tc>
      </w:tr>
    </w:tbl>
    <w:p>
      <w:pPr>
        <w:pStyle w:val="BodyText"/>
        <w:keepNext w:val="0"/>
        <w:widowControl/>
      </w:pPr>
      <w:r>
        <w:rPr>
          <w:i/>
          <w:iCs/>
          <w:lang w:val="cs-CZ"/>
        </w:rPr>
        <w:t xml:space="preserve">Interní podpis nenahrazuje schválení orgánem státního požárního dozoru. Změny ovlivňující schválené PPN řešte podle § 6a zákona; kontrolu dokumentace podle § 40 vyhlášky.</w:t>
      </w:r>
    </w:p>
    <w:bookmarkEnd w:id="21"/>
    <w:bookmarkStart w:id="27" w:name="opora-šablony"/>
    <w:p>
      <w:pPr>
        <w:pStyle w:val="Heading2"/>
        <w:widowControl/>
      </w:pPr>
      <w:r>
        <w:rPr>
          <w:lang w:val="cs-CZ"/>
        </w:rPr>
        <w:t xml:space="preserve">Opora šablony</w:t>
      </w:r>
    </w:p>
    <w:p>
      <w:pPr>
        <w:pStyle w:val="FirstParagraph"/>
        <w:widowControl/>
      </w:pPr>
      <w:hyperlink r:id="rId22">
        <w:r>
          <w:rPr>
            <w:rStyle w:val="Hyperlink"/>
            <w:lang w:val="cs-CZ"/>
          </w:rPr>
          <w:t xml:space="preserve">Zákon č. 133/1985 Sb.</w:t>
        </w:r>
      </w:hyperlink>
      <w:r>
        <w:rPr>
          <w:lang w:val="cs-CZ"/>
        </w:rPr>
        <w:t xml:space="preserve">, zejména § 4, § 6a a § 11;</w:t>
      </w:r>
      <w:r>
        <w:rPr>
          <w:lang w:val="cs-CZ"/>
        </w:rPr>
        <w:t xml:space="preserve"> </w:t>
      </w:r>
      <w:hyperlink r:id="rId23">
        <w:r>
          <w:rPr>
            <w:rStyle w:val="Hyperlink"/>
            <w:lang w:val="cs-CZ"/>
          </w:rPr>
          <w:t xml:space="preserve">vyhláška č. 246/2001 Sb.</w:t>
        </w:r>
      </w:hyperlink>
      <w:r>
        <w:rPr>
          <w:lang w:val="cs-CZ"/>
        </w:rPr>
        <w:t xml:space="preserve">, zejména § 15 až 17, § 29 a § 40. Právní stav ověřen 7. 9. 2026. Pokyny k podání ověřte u příslušného</w:t>
      </w:r>
      <w:r>
        <w:rPr>
          <w:lang w:val="cs-CZ"/>
        </w:rPr>
        <w:t xml:space="preserve"> </w:t>
      </w:r>
      <w:hyperlink r:id="rId24">
        <w:r>
          <w:rPr>
            <w:rStyle w:val="Hyperlink"/>
            <w:lang w:val="cs-CZ"/>
          </w:rPr>
          <w:t xml:space="preserve">HZS kraje</w:t>
        </w:r>
      </w:hyperlink>
      <w:r>
        <w:rPr>
          <w:lang w:val="cs-CZ"/>
        </w:rPr>
        <w:t xml:space="preserve">.</w:t>
      </w:r>
    </w:p>
    <w:p>
      <w:pPr>
        <w:keepNext w:val="0"/>
        <w:widowControl/>
      </w:pPr>
      <w:r>
        <w:pict>
          <v:rect style="width:0;height:1.5pt" o:hralign="center" o:hrstd="t" o:hr="t"/>
        </w:pict>
      </w:r>
    </w:p>
    <w:p>
      <w:pPr>
        <w:pStyle w:val="FirstParagraph"/>
        <w:widowControl/>
      </w:pPr>
      <w:r>
        <w:rPr>
          <w:b/>
          <w:bCs/>
          <w:lang w:val="cs-CZ"/>
        </w:rPr>
        <w:t xml:space="preserve">Pomoc se zpracováním:</w:t>
      </w:r>
      <w:r>
        <w:rPr>
          <w:lang w:val="cs-CZ"/>
        </w:rPr>
        <w:t xml:space="preserve"> </w:t>
      </w:r>
      <w:r>
        <w:rPr>
          <w:lang w:val="cs-CZ"/>
        </w:rPr>
        <w:t xml:space="preserve">Z vašich podkladů připravíme koncept PPN s odkazy na zdroje a přehledem údajů k doplnění. Od 900 Kč.</w:t>
      </w:r>
      <w:r>
        <w:rPr>
          <w:lang w:val="cs-CZ"/>
        </w:rPr>
        <w:t xml:space="preserve"> </w:t>
      </w:r>
      <w:hyperlink r:id="rId25">
        <w:r>
          <w:rPr>
            <w:rStyle w:val="Hyperlink"/>
            <w:lang w:val="cs-CZ"/>
          </w:rPr>
          <w:t xml:space="preserve">Požární apka</w:t>
        </w:r>
      </w:hyperlink>
      <w:r>
        <w:rPr>
          <w:lang w:val="cs-CZ"/>
        </w:rPr>
        <w:t xml:space="preserve"> </w:t>
      </w:r>
      <w:r>
        <w:rPr>
          <w:lang w:val="cs-CZ"/>
        </w:rPr>
        <w:t xml:space="preserve">·</w:t>
      </w:r>
      <w:r>
        <w:rPr>
          <w:lang w:val="cs-CZ"/>
        </w:rPr>
        <w:t xml:space="preserve"> </w:t>
      </w:r>
      <w:hyperlink r:id="rId26">
        <w:r>
          <w:rPr>
            <w:rStyle w:val="Hyperlink"/>
            <w:lang w:val="cs-CZ"/>
          </w:rPr>
          <w:t xml:space="preserve">info@pozarniapka.cz</w:t>
        </w:r>
      </w:hyperlink>
    </w:p>
    <w:bookmarkEnd w:id="27"/>
    <w:bookmarkEnd w:id="28"/>
    <w:sectPr>
      <w:footerReference w:type="default" r:id="rId9"/>
      <w:footnotePr>
        <w:numRestart w:val="eachSect"/>
      </w:footnotePr>
      <w:pgSz w:w="11906" w:h="16838"/>
      <w:pgMar w:top="1134" w:bottom="907" w:left="1020" w:right="1020" w:footer="45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rlito" w:hAnsi="Carlito"/>
        <w:sz w:val="16"/>
      </w:rPr>
      <w:t xml:space="preserve">Požární apka · </w:t>
    </w:r>
    <w:fldSimple w:instr="PAGE"/>
    <w:r>
      <w:rPr>
        <w:rFonts w:ascii="Carlito" w:hAnsi="Carlito"/>
        <w:sz w:val="16"/>
      </w:rPr>
      <w:t xml:space="preserve"> / </w:t>
    </w:r>
    <w:fldSimple w:instr="NUMPAGES"/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cs-CZ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pacing w:before="0" w:after="140" w:line="283" w:lineRule="auto"/>
    </w:pPr>
    <w:rPr>
      <w:rFonts w:ascii="Caladea" w:hAnsi="Caladea"/>
      <w:color w:val="1A1A1A"/>
      <w:sz w:val="21"/>
    </w:rPr>
  </w:style>
  <w:style w:styleId="BodyText" w:type="paragraph">
    <w:name w:val="Body Text"/>
    <w:basedOn w:val="Normal"/>
    <w:link w:val="BodyTextChar"/>
    <w:qFormat/>
    <w:pPr>
      <w:widowControl/>
      <w:spacing w:after="140" w:before="0" w:line="283" w:lineRule="auto"/>
    </w:pPr>
    <w:rPr>
      <w:rFonts w:ascii="Caladea" w:hAnsi="Caladea"/>
      <w:color w:val="1A1A1A"/>
      <w:sz w:val="21"/>
    </w:rPr>
  </w:style>
  <w:style w:customStyle="1" w:styleId="FirstParagraph" w:type="paragraph">
    <w:name w:val="First Paragraph"/>
    <w:basedOn w:val="BodyText"/>
    <w:next w:val="BodyText"/>
    <w:qFormat/>
    <w:pPr>
      <w:widowControl/>
      <w:spacing w:before="0" w:after="140" w:line="283" w:lineRule="auto"/>
    </w:pPr>
    <w:rPr>
      <w:rFonts w:ascii="Caladea" w:hAnsi="Caladea"/>
      <w:color w:val="1A1A1A"/>
      <w:sz w:val="21"/>
    </w:rPr>
  </w:style>
  <w:style w:customStyle="1" w:styleId="Compact" w:type="paragraph">
    <w:name w:val="Compact"/>
    <w:basedOn w:val="BodyText"/>
    <w:qFormat/>
    <w:pPr>
      <w:spacing w:after="36" w:before="36"/>
    </w:pPr>
    <w:rPr>
      <w:rFonts w:ascii="Caladea" w:hAnsi="Caladea"/>
      <w:color w:val="1A1A1A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 w:ascii="Caladea" w:hAnsi="Caladea"/>
      <w:color w:val="1A1A1A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 w:ascii="Caladea" w:hAnsi="Caladea"/>
      <w:color w:val="1A1A1A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 w:ascii="Caladea" w:hAnsi="Caladea"/>
      <w:color w:val="1A1A1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 w:ascii="Caladea" w:hAnsi="Caladea"/>
      <w:color w:val="1A1A1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rFonts w:ascii="Caladea" w:hAnsi="Caladea"/>
      <w:color w:val="1A1A1A"/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rFonts w:ascii="Caladea" w:hAnsi="Caladea"/>
      <w:color w:val="1A1A1A"/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rFonts w:ascii="Caladea" w:hAnsi="Caladea"/>
      <w:b/>
      <w:color w:val="1A1A1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rFonts w:ascii="Caladea" w:hAnsi="Caladea"/>
      <w:color w:val="1A1A1A"/>
      <w:sz w:val="20"/>
      <w:szCs w:val="20"/>
    </w:rPr>
  </w:style>
  <w:style w:styleId="Bibliography" w:type="paragraph">
    <w:name w:val="Bibliography"/>
    <w:basedOn w:val="Normal"/>
    <w:next w:val="Bibliography"/>
    <w:qFormat/>
    <w:pPr/>
    <w:rPr>
      <w:rFonts w:ascii="Caladea" w:hAnsi="Caladea"/>
      <w:color w:val="1A1A1A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100" w:before="0"/>
      <w:outlineLvl w:val="0"/>
    </w:pPr>
    <w:rPr>
      <w:rFonts w:asciiTheme="majorHAnsi" w:cstheme="majorBidi" w:eastAsiaTheme="majorEastAsia" w:hAnsiTheme="majorHAnsi" w:ascii="Caladea" w:hAnsi="Caladea"/>
      <w:b/>
      <w:color w:val="1A1A1A"/>
      <w:sz w:val="42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100" w:before="240"/>
      <w:outlineLvl w:val="1"/>
    </w:pPr>
    <w:rPr>
      <w:rFonts w:asciiTheme="majorHAnsi" w:cstheme="majorBidi" w:eastAsiaTheme="majorEastAsia" w:hAnsiTheme="majorHAnsi" w:ascii="Carlito" w:hAnsi="Carlito"/>
      <w:b/>
      <w:color w:val="1A1A1A"/>
      <w:sz w:val="2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100" w:before="240"/>
      <w:outlineLvl w:val="2"/>
    </w:pPr>
    <w:rPr>
      <w:rFonts w:cstheme="majorBidi" w:eastAsiaTheme="majorEastAsia" w:ascii="Carlito" w:hAnsi="Carlito"/>
      <w:b/>
      <w:color w:val="1A1A1A"/>
      <w:sz w:val="21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 w:ascii="Caladea" w:hAnsi="Caladea"/>
      <w:i/>
      <w:iCs/>
      <w:color w:val="1A1A1A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 w:ascii="Caladea" w:hAnsi="Caladea"/>
      <w:color w:val="1A1A1A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 w:ascii="Caladea" w:hAnsi="Caladea"/>
      <w:i/>
      <w:iCs/>
      <w:color w:val="1A1A1A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 w:ascii="Caladea" w:hAnsi="Caladea"/>
      <w:color w:val="1A1A1A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 w:ascii="Caladea" w:hAnsi="Caladea"/>
      <w:i/>
      <w:iCs/>
      <w:color w:val="1A1A1A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 w:ascii="Caladea" w:hAnsi="Caladea"/>
      <w:color w:val="1A1A1A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 w:ascii="Caladea" w:hAnsi="Caladea"/>
      <w:color w:val="1A1A1A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 w:ascii="Caladea" w:hAnsi="Caladea"/>
      <w:color w:val="1A1A1A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 w:ascii="Caladea" w:hAnsi="Caladea"/>
      <w:color w:val="1A1A1A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 w:ascii="Caladea" w:hAnsi="Caladea"/>
      <w:i/>
      <w:iCs/>
      <w:color w:val="1A1A1A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 w:ascii="Caladea" w:hAnsi="Caladea"/>
      <w:color w:val="1A1A1A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 w:ascii="Caladea" w:hAnsi="Caladea"/>
      <w:i/>
      <w:iCs/>
      <w:color w:val="1A1A1A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 w:ascii="Caladea" w:hAnsi="Caladea"/>
      <w:color w:val="1A1A1A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 w:ascii="Caladea" w:hAnsi="Caladea"/>
      <w:i/>
      <w:iCs/>
      <w:color w:val="1A1A1A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 w:ascii="Caladea" w:hAnsi="Caladea"/>
      <w:color w:val="1A1A1A"/>
    </w:rPr>
  </w:style>
  <w:style w:styleId="BlockText" w:type="paragraph">
    <w:name w:val="Block Text"/>
    <w:basedOn w:val="BodyText"/>
    <w:next w:val="BodyText"/>
    <w:uiPriority w:val="9"/>
    <w:unhideWhenUsed/>
    <w:qFormat/>
    <w:pPr>
      <w:widowControl/>
      <w:spacing w:after="140" w:before="0" w:line="283" w:lineRule="auto"/>
      <w:ind w:firstLine="0" w:left="480" w:right="480"/>
    </w:pPr>
    <w:rPr>
      <w:rFonts w:ascii="Caladea" w:hAnsi="Caladea"/>
      <w:color w:val="1A1A1A"/>
      <w:sz w:val="21"/>
    </w:rPr>
  </w:style>
  <w:style w:styleId="FootnoteText" w:type="paragraph">
    <w:name w:val="Footnote Text"/>
    <w:basedOn w:val="Normal"/>
    <w:next w:val="FootnoteText"/>
    <w:uiPriority w:val="9"/>
    <w:unhideWhenUsed/>
    <w:qFormat/>
    <w:rPr>
      <w:rFonts w:ascii="Caladea" w:hAnsi="Caladea"/>
      <w:color w:val="1A1A1A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  <w:rPr>
      <w:rFonts w:ascii="Caladea" w:hAnsi="Caladea"/>
      <w:color w:val="1A1A1A"/>
    </w:rPr>
  </w:style>
  <w:style w:default="1" w:styleId="DefaultParagraphFont" w:type="character">
    <w:name w:val="Default Paragraph Font"/>
    <w:semiHidden/>
    <w:unhideWhenUsed/>
    <w:rPr>
      <w:rFonts w:ascii="Caladea" w:hAnsi="Caladea"/>
      <w:color w:val="1A1A1A"/>
    </w:rPr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rFonts w:ascii="Caladea" w:hAnsi="Caladea"/>
      <w:b/>
      <w:color w:val="1A1A1A"/>
    </w:rPr>
  </w:style>
  <w:style w:customStyle="1" w:styleId="Definition" w:type="paragraph">
    <w:name w:val="Definition"/>
    <w:basedOn w:val="Normal"/>
    <w:rPr>
      <w:rFonts w:ascii="Caladea" w:hAnsi="Caladea"/>
      <w:color w:val="1A1A1A"/>
    </w:rPr>
  </w:style>
  <w:style w:styleId="Caption" w:type="paragraph">
    <w:name w:val="Caption"/>
    <w:basedOn w:val="Normal"/>
    <w:link w:val="BodyTextChar"/>
    <w:pPr>
      <w:spacing w:after="120" w:before="0"/>
    </w:pPr>
    <w:rPr>
      <w:rFonts w:ascii="Caladea" w:hAnsi="Caladea"/>
      <w:i/>
      <w:color w:val="1A1A1A"/>
    </w:rPr>
  </w:style>
  <w:style w:customStyle="1" w:styleId="TableCaption" w:type="paragraph">
    <w:name w:val="Table Caption"/>
    <w:basedOn w:val="Caption"/>
    <w:pPr>
      <w:keepNext/>
    </w:pPr>
    <w:rPr>
      <w:rFonts w:ascii="Caladea" w:hAnsi="Caladea"/>
      <w:color w:val="1A1A1A"/>
    </w:rPr>
  </w:style>
  <w:style w:customStyle="1" w:styleId="ImageCaption" w:type="paragraph">
    <w:name w:val="Image Caption"/>
    <w:basedOn w:val="Caption"/>
    <w:rPr>
      <w:rFonts w:ascii="Caladea" w:hAnsi="Caladea"/>
      <w:color w:val="1A1A1A"/>
    </w:rPr>
  </w:style>
  <w:style w:customStyle="1" w:styleId="Figure" w:type="paragraph">
    <w:name w:val="Figure"/>
    <w:basedOn w:val="Normal"/>
    <w:rPr>
      <w:rFonts w:ascii="Caladea" w:hAnsi="Caladea"/>
      <w:color w:val="1A1A1A"/>
    </w:rPr>
  </w:style>
  <w:style w:customStyle="1" w:styleId="CaptionedFigure" w:type="paragraph">
    <w:name w:val="Captioned Figure"/>
    <w:basedOn w:val="Figure"/>
    <w:pPr>
      <w:keepNext/>
    </w:pPr>
    <w:rPr>
      <w:rFonts w:ascii="Caladea" w:hAnsi="Caladea"/>
      <w:color w:val="1A1A1A"/>
    </w:rPr>
  </w:style>
  <w:style w:customStyle="1" w:styleId="BodyTextChar" w:type="character">
    <w:name w:val="Body Text Char"/>
    <w:basedOn w:val="DefaultParagraphFont"/>
    <w:link w:val="BodyText"/>
    <w:rPr>
      <w:rFonts w:ascii="Caladea" w:hAnsi="Caladea"/>
      <w:color w:val="1A1A1A"/>
    </w:rPr>
  </w:style>
  <w:style w:customStyle="1" w:styleId="VerbatimChar" w:type="character">
    <w:name w:val="Verbatim Char"/>
    <w:basedOn w:val="BodyTextChar"/>
    <w:rPr>
      <w:rFonts w:ascii="Caladea" w:hAnsi="Caladea"/>
      <w:color w:val="1A1A1A"/>
      <w:sz w:val="22"/>
    </w:rPr>
  </w:style>
  <w:style w:customStyle="1" w:styleId="SectionNumber" w:type="character">
    <w:name w:val="Section Number"/>
    <w:basedOn w:val="BodyTextChar"/>
    <w:rPr>
      <w:rFonts w:ascii="Caladea" w:hAnsi="Caladea"/>
      <w:color w:val="1A1A1A"/>
    </w:rPr>
  </w:style>
  <w:style w:styleId="FootnoteReference" w:type="character">
    <w:name w:val="Footnote Reference"/>
    <w:basedOn w:val="BodyTextChar"/>
    <w:rPr>
      <w:rFonts w:ascii="Caladea" w:hAnsi="Caladea"/>
      <w:color w:val="1A1A1A"/>
      <w:vertAlign w:val="superscript"/>
    </w:rPr>
  </w:style>
  <w:style w:styleId="Hyperlink" w:type="character">
    <w:name w:val="Hyperlink"/>
    <w:basedOn w:val="BodyTextChar"/>
    <w:rPr>
      <w:rFonts w:ascii="Caladea" w:hAnsi="Caladea"/>
      <w:color w:val="1A1A1A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 w:ascii="Caladea" w:hAnsi="Caladea"/>
      <w:b w:val="0"/>
      <w:bCs w:val="0"/>
      <w:color w:val="1A1A1A"/>
    </w:rPr>
  </w:style>
  <w:style w:type="paragraph" w:customStyle="1" w:styleId="SourceCode">
    <w:name w:val="Source Code"/>
    <w:basedOn w:val="Normal"/>
    <w:link w:val="VerbatimChar"/>
    <w:pPr>
      <w:wordWrap w:val="off"/>
    </w:pPr>
    <w:rPr>
      <w:rFonts w:ascii="Caladea" w:hAnsi="Caladea"/>
      <w:color w:val="1A1A1A"/>
    </w:rPr>
  </w:style>
  <w:style w:type="character" w:customStyle="1" w:styleId="KeywordTok">
    <w:name w:val="KeywordTok"/>
    <w:basedOn w:val="VerbatimChar"/>
    <w:rPr>
      <w:rFonts w:ascii="Caladea" w:hAnsi="Caladea"/>
      <w:b/>
      <w:color w:val="1A1A1A"/>
    </w:rPr>
  </w:style>
  <w:style w:type="character" w:customStyle="1" w:styleId="DataTypeTok">
    <w:name w:val="DataTypeTok"/>
    <w:basedOn w:val="VerbatimChar"/>
    <w:rPr>
      <w:rFonts w:ascii="Caladea" w:hAnsi="Caladea"/>
      <w:color w:val="1A1A1A"/>
    </w:rPr>
  </w:style>
  <w:style w:type="character" w:customStyle="1" w:styleId="DecValTok">
    <w:name w:val="DecValTok"/>
    <w:basedOn w:val="VerbatimChar"/>
    <w:rPr>
      <w:rFonts w:ascii="Caladea" w:hAnsi="Caladea"/>
      <w:color w:val="1A1A1A"/>
    </w:rPr>
  </w:style>
  <w:style w:type="character" w:customStyle="1" w:styleId="BaseNTok">
    <w:name w:val="BaseNTok"/>
    <w:basedOn w:val="VerbatimChar"/>
    <w:rPr>
      <w:rFonts w:ascii="Caladea" w:hAnsi="Caladea"/>
      <w:color w:val="1A1A1A"/>
    </w:rPr>
  </w:style>
  <w:style w:type="character" w:customStyle="1" w:styleId="FloatTok">
    <w:name w:val="FloatTok"/>
    <w:basedOn w:val="VerbatimChar"/>
    <w:rPr>
      <w:rFonts w:ascii="Caladea" w:hAnsi="Caladea"/>
      <w:color w:val="1A1A1A"/>
    </w:rPr>
  </w:style>
  <w:style w:type="character" w:customStyle="1" w:styleId="ConstantTok">
    <w:name w:val="ConstantTok"/>
    <w:basedOn w:val="VerbatimChar"/>
    <w:rPr>
      <w:rFonts w:ascii="Caladea" w:hAnsi="Caladea"/>
      <w:color w:val="1A1A1A"/>
    </w:rPr>
  </w:style>
  <w:style w:type="character" w:customStyle="1" w:styleId="CharTok">
    <w:name w:val="CharTok"/>
    <w:basedOn w:val="VerbatimChar"/>
    <w:rPr>
      <w:rFonts w:ascii="Caladea" w:hAnsi="Caladea"/>
      <w:color w:val="1A1A1A"/>
    </w:rPr>
  </w:style>
  <w:style w:type="character" w:customStyle="1" w:styleId="SpecialCharTok">
    <w:name w:val="SpecialCharTok"/>
    <w:basedOn w:val="VerbatimChar"/>
    <w:rPr>
      <w:rFonts w:ascii="Caladea" w:hAnsi="Caladea"/>
      <w:color w:val="1A1A1A"/>
    </w:rPr>
  </w:style>
  <w:style w:type="character" w:customStyle="1" w:styleId="StringTok">
    <w:name w:val="StringTok"/>
    <w:basedOn w:val="VerbatimChar"/>
    <w:rPr>
      <w:rFonts w:ascii="Caladea" w:hAnsi="Caladea"/>
      <w:color w:val="1A1A1A"/>
    </w:rPr>
  </w:style>
  <w:style w:type="character" w:customStyle="1" w:styleId="VerbatimStringTok">
    <w:name w:val="VerbatimStringTok"/>
    <w:basedOn w:val="VerbatimChar"/>
    <w:rPr>
      <w:rFonts w:ascii="Caladea" w:hAnsi="Caladea"/>
      <w:color w:val="1A1A1A"/>
    </w:rPr>
  </w:style>
  <w:style w:type="character" w:customStyle="1" w:styleId="SpecialStringTok">
    <w:name w:val="SpecialStringTok"/>
    <w:basedOn w:val="VerbatimChar"/>
    <w:rPr>
      <w:rFonts w:ascii="Caladea" w:hAnsi="Caladea"/>
      <w:color w:val="1A1A1A"/>
    </w:rPr>
  </w:style>
  <w:style w:type="character" w:customStyle="1" w:styleId="ImportTok">
    <w:name w:val="ImportTok"/>
    <w:basedOn w:val="VerbatimChar"/>
    <w:rPr>
      <w:rFonts w:ascii="Caladea" w:hAnsi="Caladea"/>
      <w:b/>
      <w:color w:val="1A1A1A"/>
    </w:rPr>
  </w:style>
  <w:style w:type="character" w:customStyle="1" w:styleId="CommentTok">
    <w:name w:val="CommentTok"/>
    <w:basedOn w:val="VerbatimChar"/>
    <w:rPr>
      <w:rFonts w:ascii="Caladea" w:hAnsi="Caladea"/>
      <w:i/>
      <w:color w:val="1A1A1A"/>
    </w:rPr>
  </w:style>
  <w:style w:type="character" w:customStyle="1" w:styleId="DocumentationTok">
    <w:name w:val="DocumentationTok"/>
    <w:basedOn w:val="VerbatimChar"/>
    <w:rPr>
      <w:rFonts w:ascii="Caladea" w:hAnsi="Caladea"/>
      <w:i/>
      <w:color w:val="1A1A1A"/>
    </w:rPr>
  </w:style>
  <w:style w:type="character" w:customStyle="1" w:styleId="AnnotationTok">
    <w:name w:val="AnnotationTok"/>
    <w:basedOn w:val="VerbatimChar"/>
    <w:rPr>
      <w:rFonts w:ascii="Caladea" w:hAnsi="Caladea"/>
      <w:b/>
      <w:i/>
      <w:color w:val="1A1A1A"/>
    </w:rPr>
  </w:style>
  <w:style w:type="character" w:customStyle="1" w:styleId="CommentVarTok">
    <w:name w:val="CommentVarTok"/>
    <w:basedOn w:val="VerbatimChar"/>
    <w:rPr>
      <w:rFonts w:ascii="Caladea" w:hAnsi="Caladea"/>
      <w:b/>
      <w:i/>
      <w:color w:val="1A1A1A"/>
    </w:rPr>
  </w:style>
  <w:style w:type="character" w:customStyle="1" w:styleId="OtherTok">
    <w:name w:val="OtherTok"/>
    <w:basedOn w:val="VerbatimChar"/>
    <w:rPr>
      <w:rFonts w:ascii="Caladea" w:hAnsi="Caladea"/>
      <w:color w:val="1A1A1A"/>
    </w:rPr>
  </w:style>
  <w:style w:type="character" w:customStyle="1" w:styleId="FunctionTok">
    <w:name w:val="FunctionTok"/>
    <w:basedOn w:val="VerbatimChar"/>
    <w:rPr>
      <w:rFonts w:ascii="Caladea" w:hAnsi="Caladea"/>
      <w:color w:val="1A1A1A"/>
    </w:rPr>
  </w:style>
  <w:style w:type="character" w:customStyle="1" w:styleId="VariableTok">
    <w:name w:val="VariableTok"/>
    <w:basedOn w:val="VerbatimChar"/>
    <w:rPr>
      <w:rFonts w:ascii="Caladea" w:hAnsi="Caladea"/>
      <w:color w:val="1A1A1A"/>
    </w:rPr>
  </w:style>
  <w:style w:type="character" w:customStyle="1" w:styleId="ControlFlowTok">
    <w:name w:val="ControlFlowTok"/>
    <w:basedOn w:val="VerbatimChar"/>
    <w:rPr>
      <w:rFonts w:ascii="Caladea" w:hAnsi="Caladea"/>
      <w:b/>
      <w:color w:val="1A1A1A"/>
    </w:rPr>
  </w:style>
  <w:style w:type="character" w:customStyle="1" w:styleId="OperatorTok">
    <w:name w:val="OperatorTok"/>
    <w:basedOn w:val="VerbatimChar"/>
    <w:rPr>
      <w:rFonts w:ascii="Caladea" w:hAnsi="Caladea"/>
      <w:color w:val="1A1A1A"/>
    </w:rPr>
  </w:style>
  <w:style w:type="character" w:customStyle="1" w:styleId="BuiltInTok">
    <w:name w:val="BuiltInTok"/>
    <w:basedOn w:val="VerbatimChar"/>
    <w:rPr>
      <w:rFonts w:ascii="Caladea" w:hAnsi="Caladea"/>
      <w:color w:val="1A1A1A"/>
    </w:rPr>
  </w:style>
  <w:style w:type="character" w:customStyle="1" w:styleId="ExtensionTok">
    <w:name w:val="ExtensionTok"/>
    <w:basedOn w:val="VerbatimChar"/>
    <w:rPr>
      <w:rFonts w:ascii="Caladea" w:hAnsi="Caladea"/>
      <w:color w:val="1A1A1A"/>
    </w:rPr>
  </w:style>
  <w:style w:type="character" w:customStyle="1" w:styleId="PreprocessorTok">
    <w:name w:val="PreprocessorTok"/>
    <w:basedOn w:val="VerbatimChar"/>
    <w:rPr>
      <w:rFonts w:ascii="Caladea" w:hAnsi="Caladea"/>
      <w:color w:val="1A1A1A"/>
    </w:rPr>
  </w:style>
  <w:style w:type="character" w:customStyle="1" w:styleId="AttributeTok">
    <w:name w:val="AttributeTok"/>
    <w:basedOn w:val="VerbatimChar"/>
    <w:rPr>
      <w:rFonts w:ascii="Caladea" w:hAnsi="Caladea"/>
      <w:color w:val="1A1A1A"/>
    </w:rPr>
  </w:style>
  <w:style w:type="character" w:customStyle="1" w:styleId="RegionMarkerTok">
    <w:name w:val="RegionMarkerTok"/>
    <w:basedOn w:val="VerbatimChar"/>
    <w:rPr>
      <w:rFonts w:ascii="Caladea" w:hAnsi="Caladea"/>
      <w:color w:val="1A1A1A"/>
    </w:rPr>
  </w:style>
  <w:style w:type="character" w:customStyle="1" w:styleId="InformationTok">
    <w:name w:val="InformationTok"/>
    <w:basedOn w:val="VerbatimChar"/>
    <w:rPr>
      <w:rFonts w:ascii="Caladea" w:hAnsi="Caladea"/>
      <w:b/>
      <w:i/>
      <w:color w:val="1A1A1A"/>
    </w:rPr>
  </w:style>
  <w:style w:type="character" w:customStyle="1" w:styleId="WarningTok">
    <w:name w:val="WarningTok"/>
    <w:basedOn w:val="VerbatimChar"/>
    <w:rPr>
      <w:rFonts w:ascii="Caladea" w:hAnsi="Caladea"/>
      <w:b/>
      <w:i/>
      <w:color w:val="1A1A1A"/>
    </w:rPr>
  </w:style>
  <w:style w:type="character" w:customStyle="1" w:styleId="AlertTok">
    <w:name w:val="AlertTok"/>
    <w:basedOn w:val="VerbatimChar"/>
    <w:rPr>
      <w:rFonts w:ascii="Caladea" w:hAnsi="Caladea"/>
      <w:b/>
      <w:color w:val="1A1A1A"/>
    </w:rPr>
  </w:style>
  <w:style w:type="character" w:customStyle="1" w:styleId="ErrorTok">
    <w:name w:val="ErrorTok"/>
    <w:basedOn w:val="VerbatimChar"/>
    <w:rPr>
      <w:rFonts w:ascii="Caladea" w:hAnsi="Caladea"/>
      <w:b/>
      <w:color w:val="1A1A1A"/>
    </w:rPr>
  </w:style>
  <w:style w:type="character" w:customStyle="1" w:styleId="NormalTok">
    <w:name w:val="NormalTok"/>
    <w:basedOn w:val="VerbatimChar"/>
    <w:rPr>
      <w:rFonts w:ascii="Caladea" w:hAnsi="Caladea"/>
      <w:color w:val="1A1A1A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22" Type="http://schemas.openxmlformats.org/officeDocument/2006/relationships/hyperlink" Target="https://e-sbirka.gov.cz/sb/1985/133" TargetMode="External"/><Relationship Id="rId23" Type="http://schemas.openxmlformats.org/officeDocument/2006/relationships/hyperlink" Target="https://e-sbirka.gov.cz/sb/2001/246" TargetMode="External"/><Relationship Id="rId24" Type="http://schemas.openxmlformats.org/officeDocument/2006/relationships/hyperlink" Target="https://hzscr.gov.cz" TargetMode="External"/><Relationship Id="rId25" Type="http://schemas.openxmlformats.org/officeDocument/2006/relationships/hyperlink" Target="https://pozarniapka.cz" TargetMode="External"/><Relationship Id="rId26" Type="http://schemas.openxmlformats.org/officeDocument/2006/relationships/hyperlink" Target="mailto:info@pozarniapka.cz" TargetMode="External"/><Relationship Id="rId9" Type="http://schemas.openxmlformats.org/officeDocument/2006/relationships/footer" Target="footer1.xml"/></Relationships>
</file>

<file path=word/_rels/footnotes.xml.rels><?xml version='1.0' encoding='UTF-8' standalone='yes'?>
<Relationships xmlns="http://schemas.openxmlformats.org/package/2006/relationships"><Relationship Id="rId22" Type="http://schemas.openxmlformats.org/officeDocument/2006/relationships/hyperlink" Target="https://e-sbirka.gov.cz/sb/1985/133" TargetMode="External"/><Relationship Id="rId23" Type="http://schemas.openxmlformats.org/officeDocument/2006/relationships/hyperlink" Target="https://e-sbirka.gov.cz/sb/2001/246" TargetMode="External"/><Relationship Id="rId24" Type="http://schemas.openxmlformats.org/officeDocument/2006/relationships/hyperlink" Target="https://hzscr.gov.cz" TargetMode="External"/><Relationship Id="rId25" Type="http://schemas.openxmlformats.org/officeDocument/2006/relationships/hyperlink" Target="https://pozarniapka.cz" TargetMode="External"/><Relationship Id="rId26" Type="http://schemas.openxmlformats.org/officeDocument/2006/relationships/hyperlink" Target="mailto:info@pozarniapka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Požární apka</dc:creator>
  <dc:language>cs-CZ</dc:language>
  <cp:keywords/>
  <dcterms:created xsi:type="dcterms:W3CDTF">2026-09-07T15:32:38Z</dcterms:created>
  <dcterms:modified xsi:type="dcterms:W3CDTF">2026-09-07T15:32:38Z</dcterms:modified>
  <cp:lastModifiedBy>Požární apka</cp:lastModifiedBy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