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ožární-evakuační-plán"/>
    <w:p>
      <w:pPr>
        <w:pStyle w:val="Heading1"/>
        <w:widowControl/>
      </w:pPr>
      <w:r>
        <w:rPr>
          <w:lang w:val="cs-CZ"/>
        </w:rPr>
        <w:t xml:space="preserve">Požární evakuační plán</w:t>
      </w:r>
    </w:p>
    <w:p>
      <w:pPr>
        <w:pStyle w:val="FirstParagraph"/>
        <w:widowControl/>
      </w:pPr>
      <w:r>
        <w:rPr>
          <w:b/>
          <w:bCs/>
          <w:lang w:val="cs-CZ"/>
        </w:rPr>
        <w:t xml:space="preserve">Textová část · šablona s pokyny · verze 1.0 · 11. 9. 2026</w:t>
      </w:r>
    </w:p>
    <w:bookmarkStart w:id="9" w:name="hlavička"/>
    <w:p>
      <w:pPr>
        <w:pStyle w:val="Heading2"/>
        <w:widowControl/>
      </w:pPr>
      <w:r>
        <w:rPr>
          <w:lang w:val="cs-CZ"/>
        </w:rPr>
        <w:t xml:space="preserve">Hlavička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4932"/>
        <w:gridCol w:w="4932"/>
      </w:tblGrid>
      <w:tr>
        <w:trPr>
          <w:tblHeader w:val="on"/>
          <w:cantSplit/>
          <w:tblHeader/>
        </w:trPr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Údaj</w:t>
            </w:r>
          </w:p>
        </w:tc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Vyplňte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Objekt a adresa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název, ulice, číslo, obec]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Provozovatel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 / jméno, IČO]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Činnost a kategorie požárního nebezpečí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činnost, kategorie podle začlenění]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Rozsah plánu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budovy, prostory a podlaží]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Zpracoval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jméno, OZO / technik PO, číslo osvědčení, podpis]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Schválil za provozovatele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statutární orgán, jméno, funkce, podpis; u podnikající fyzické osoby tato osoba nebo její odpovědný zástupce]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Datum zpracování a schválení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obě data]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Číslo verze dokumentu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9"/>
    <w:bookmarkStart w:id="10" w:name="kdy-je-plán-povinný"/>
    <w:p>
      <w:pPr>
        <w:pStyle w:val="Heading2"/>
        <w:widowControl/>
      </w:pPr>
      <w:r>
        <w:rPr>
          <w:lang w:val="cs-CZ"/>
        </w:rPr>
        <w:t xml:space="preserve">Kdy je plán povinný</w:t>
      </w:r>
    </w:p>
    <w:p>
      <w:pPr>
        <w:pStyle w:val="FirstParagraph"/>
        <w:widowControl/>
      </w:pPr>
      <w:r>
        <w:rPr>
          <w:lang w:val="cs-CZ"/>
        </w:rPr>
        <w:t xml:space="preserve">Podle § 33 odst. 3 vyhlášky č. 246/2001 Sb. se plán zpracovává pro objekty a prostory se složitými podmínkami pro zásah (§ 18), s činnostmi s vysokým požárním nebezpečím a také pro další činnosti se zvýšeným požárním nebezpečím, stanoví-li to dokumentace PO zpracovaná na základě stanovení podmínek požární bezpečnosti (např. § 30).</w:t>
      </w:r>
    </w:p>
    <w:bookmarkEnd w:id="10"/>
    <w:bookmarkStart w:id="11" w:name="X96cfa03001664cdc0d8ed313de2763d62730bfe"/>
    <w:p>
      <w:pPr>
        <w:pStyle w:val="Heading2"/>
        <w:widowControl/>
      </w:pPr>
      <w:r>
        <w:rPr>
          <w:lang w:val="cs-CZ"/>
        </w:rPr>
        <w:t xml:space="preserve">1. Osoba organizující evakuaci a místo řízení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Určete osobu, která organizuje evakuaci, její zastupování a spojení. Místo řízení popište tak, aby je zaměstnanci našli; zohledněte dostupnost osob ve směnách (§ 33 odst. 2 písm. a)).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jméno, funkce, kontakt a zástupce]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místo, ze kterého se evakuace řídí]</w:t>
      </w:r>
    </w:p>
    <w:bookmarkEnd w:id="11"/>
    <w:bookmarkStart w:id="12" w:name="Xde92b40cb3c146ffa9b780aa9a660d5e4a29a7a"/>
    <w:p>
      <w:pPr>
        <w:pStyle w:val="Heading2"/>
        <w:widowControl/>
      </w:pPr>
      <w:r>
        <w:rPr>
          <w:lang w:val="cs-CZ"/>
        </w:rPr>
        <w:t xml:space="preserve">2. Osoby a prostředky pro evakuaci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Uveďte konkrétní osoby, jejich úkoly a dostupné prostředky včetně místa uložení. Zahrňte pomoc osobám s omezenou schopností pohybu či orientace a podle provozu i evakuaci zvířat a materiálu (§ 33 odst. 2 písm. b)).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Osoba, kontakt a zastupování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Úkol / svěřený prostor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Prostředek a jeho umístění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2"/>
    <w:bookmarkStart w:id="13" w:name="X30256ff3e0f4c429b9599c07b38ada9b54b7dba"/>
    <w:p>
      <w:pPr>
        <w:pStyle w:val="Heading2"/>
        <w:widowControl/>
      </w:pPr>
      <w:r>
        <w:rPr>
          <w:lang w:val="cs-CZ"/>
        </w:rPr>
        <w:t xml:space="preserve">3. Cesty, způsob evakuace a kontrola počtu osob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Popište průběh evakuace od pokynu k opuštění prostor až po shromáždění, včetně pomoci osobám, které ji potřebují. Cesty, východy a shromaždiště slaďte s grafickou částí; určete zaměstnance kontrolujícího počet evakuovaných a způsob kontroly (§ 33 odst. 2 písm. c)).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způsob a pořadí evakuace, pomoc osobám, postup při neprůchodné cestě]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2466"/>
        <w:gridCol w:w="2466"/>
        <w:gridCol w:w="2466"/>
        <w:gridCol w:w="2466"/>
      </w:tblGrid>
      <w:tr>
        <w:trPr>
          <w:tblHeader w:val="on"/>
          <w:cantSplit/>
          <w:tblHeader/>
        </w:trPr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Podlaží / prostor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Úniková cesta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Východ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Shromaždiště osob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p>
      <w:pPr>
        <w:pStyle w:val="BodyText"/>
        <w:widowControl/>
        <w:spacing w:after="200"/>
      </w:pPr>
      <w:r>
        <w:rPr>
          <w:lang w:val="cs-CZ"/>
        </w:rPr>
        <w:t xml:space="preserve">[DOPLNIT: zaměstnanec, kontakt, zástupce, podklad pro kontrolu počtu osob včetně návštěvníků a komu hlásí chybějící osoby]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cesty, způsob evakuace a shromaždiště zvířat, nebo „netýká se“]</w:t>
      </w:r>
    </w:p>
    <w:bookmarkEnd w:id="13"/>
    <w:bookmarkStart w:id="14" w:name="X3fd29fa47b9e5479fde35b9faaa2c5f723588e2"/>
    <w:p>
      <w:pPr>
        <w:pStyle w:val="Heading2"/>
        <w:widowControl/>
      </w:pPr>
      <w:r>
        <w:rPr>
          <w:lang w:val="cs-CZ"/>
        </w:rPr>
        <w:t xml:space="preserve">4. Zajištění první pomoci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Uveďte, kdo a kde poskytne první pomoc a jaké vybavení má k dispozici. Popište přivolání zdravotnické záchranné služby a přístup k postiženým osobám (§ 33 odst. 2 písm. d)).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osoby a kontakty, místo pomoci, vybavení a jeho uložení, způsob přivolání a přístupu pomoci]</w:t>
      </w:r>
    </w:p>
    <w:bookmarkEnd w:id="14"/>
    <w:bookmarkStart w:id="15" w:name="X6413c305dc69115bfb59ff4958895dcc4196814"/>
    <w:p>
      <w:pPr>
        <w:pStyle w:val="Heading2"/>
        <w:widowControl/>
      </w:pPr>
      <w:r>
        <w:rPr>
          <w:lang w:val="cs-CZ"/>
        </w:rPr>
        <w:t xml:space="preserve">5. Evakuovaný materiál a jeho střežení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Určete materiál k evakuaci a místo jeho soustředění. Popište, kdo a jak zajistí střežení; pokud se materiál neevakuuje, uveďte to výslovně (§ 33 odst. 2 písm. e)).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materiál, místo soustředění, odpovědná osoba, kontakt a způsob střežení]</w:t>
      </w:r>
    </w:p>
    <w:bookmarkEnd w:id="15"/>
    <w:bookmarkStart w:id="16" w:name="X8c7d2621e7622e78a7dfb0ef3b8fdeacef7184c"/>
    <w:p>
      <w:pPr>
        <w:pStyle w:val="Heading2"/>
        <w:widowControl/>
      </w:pPr>
      <w:r>
        <w:rPr>
          <w:lang w:val="cs-CZ"/>
        </w:rPr>
        <w:t xml:space="preserve">6. Grafická část a seznam příloh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Připojte půdorys každého podlaží s vyznačením směru únikových cest podle § 33 odst. 2 písm. f). Vyznačte východy, shromaždiště a místo vyvěšení; grafické provedení se řídí ČSN ISO 23601 (Bezpečnostní identifikace, Únikové a evakuační plány) a zpracovává se individuálně.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Příloha / podlaží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Název a verze půdorysu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Místo vyvěšení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6"/>
    <w:bookmarkStart w:id="17" w:name="Xc0c0606c25004e0a38410ee53450946f5a2cc3b"/>
    <w:p>
      <w:pPr>
        <w:pStyle w:val="Heading2"/>
        <w:keepNext/>
        <w:widowControl/>
      </w:pPr>
      <w:r>
        <w:rPr>
          <w:lang w:val="cs-CZ"/>
        </w:rPr>
        <w:t xml:space="preserve">7. Ověření cvičným požárním poplachem</w:t>
      </w:r>
    </w:p>
    <w:p>
      <w:pPr>
        <w:pStyle w:val="FirstParagraph"/>
        <w:keepNext/>
        <w:widowControl/>
      </w:pPr>
      <w:r>
        <w:rPr>
          <w:lang w:val="cs-CZ"/>
        </w:rPr>
        <w:t xml:space="preserve">Úplnost a správnost plánu se ověřuje cvičným požárním poplachem podle § 33 odst. 4 za podmínek § 32 odst. 4 a 5: nejméně jednou ročně, stanoví-li tak schválené posouzení požárního nebezpečí nebo příslušná dokumentace PO, s předchozím oznámením příslušnému operačnímu středisku HZS kraje, pro osoby v pracovním poměru nebo obdobném pracovním vztahu k provozovateli.</w:t>
      </w:r>
    </w:p>
    <w:p>
      <w:pPr>
        <w:pStyle w:val="BodyText"/>
        <w:keepNext/>
        <w:widowControl/>
      </w:pPr>
      <w:r>
        <w:rPr>
          <w:i/>
          <w:iCs/>
          <w:lang w:val="cs-CZ"/>
        </w:rPr>
        <w:t xml:space="preserve">Doplňte podmínky a termín ověření podle dokumentace objektu. Po provedení zaznamenejte zjištění a opatření včetně odpovědnosti a termínu nápravy.</w:t>
      </w:r>
    </w:p>
    <w:p>
      <w:pPr>
        <w:pStyle w:val="BodyText"/>
        <w:keepNext/>
        <w:widowControl/>
        <w:spacing w:after="200"/>
      </w:pPr>
      <w:r>
        <w:rPr>
          <w:lang w:val="cs-CZ"/>
        </w:rPr>
        <w:t xml:space="preserve">[DOPLNIT: podklad a podmínky ověření, termín, kdo zajistí předchozí oznámení]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2466"/>
        <w:gridCol w:w="2466"/>
        <w:gridCol w:w="2466"/>
        <w:gridCol w:w="2466"/>
      </w:tblGrid>
      <w:tr>
        <w:trPr>
          <w:tblHeader w:val="on"/>
          <w:cantSplit/>
          <w:tblHeader/>
        </w:trPr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Datum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Zjištění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Opatření, odpovídá, termín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Podpis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7"/>
    <w:bookmarkStart w:id="18" w:name="Xa6002a3fc0470892ea0044594c6bdc9903489f5"/>
    <w:p>
      <w:pPr>
        <w:pStyle w:val="Heading2"/>
        <w:widowControl/>
      </w:pPr>
      <w:r>
        <w:rPr>
          <w:lang w:val="cs-CZ"/>
        </w:rPr>
        <w:t xml:space="preserve">8. Uložení a vyvěšení</w:t>
      </w:r>
    </w:p>
    <w:p>
      <w:pPr>
        <w:pStyle w:val="FirstParagraph"/>
        <w:widowControl/>
      </w:pPr>
      <w:r>
        <w:rPr>
          <w:lang w:val="cs-CZ"/>
        </w:rPr>
        <w:t xml:space="preserve">Podle § 33 odst. 5 je plán uložen u jednotky HZS podniku, není-li zřízena, na trvale dosažitelném místě; grafická část se umísťuje na dobře viditelném a trvale přístupném místě v každém podlaží a v ubytovacích zařízeních také uvnitř ubytovacích jednotek, zpravidla u vstupu do únikových cest.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jednotka HZS podniku / trvale dosažitelné místo uložení a přístup k plánu]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místa vyvěšení po podlažích a v ubytovacích jednotkách, vazba na přílohy]</w:t>
      </w:r>
    </w:p>
    <w:bookmarkEnd w:id="18"/>
    <w:bookmarkStart w:id="19" w:name="návod-k-vyplnění-a-upozornění"/>
    <w:p>
      <w:pPr>
        <w:pStyle w:val="Heading2"/>
        <w:widowControl/>
      </w:pPr>
      <w:r>
        <w:rPr>
          <w:lang w:val="cs-CZ"/>
        </w:rPr>
        <w:t xml:space="preserve">Návod k vyplnění a upozornění</w:t>
      </w:r>
    </w:p>
    <w:p>
      <w:pPr>
        <w:pStyle w:val="FirstParagraph"/>
        <w:widowControl/>
      </w:pPr>
      <w:r>
        <w:rPr>
          <w:lang w:val="cs-CZ"/>
        </w:rPr>
        <w:t xml:space="preserve">Vyplňujte ve Wordu. Pole [DOPLNIT: …] nahraďte ověřenými údaji, řádky tabulek přidejte podle objektu. Kurzívou jsou pokyny; před použitím je spolu s tímto návodem odstraňte. PDF slouží k prohlédnutí a tisku.</w:t>
      </w:r>
    </w:p>
    <w:p>
      <w:pPr>
        <w:pStyle w:val="BodyText"/>
        <w:widowControl/>
      </w:pPr>
      <w:r>
        <w:rPr>
          <w:lang w:val="cs-CZ"/>
        </w:rPr>
        <w:t xml:space="preserve">Dokumentaci PO zpracovává odborně způsobilá osoba (OZO) nebo technik požární ochrany. HZS požární evakuační plán neschvaluje. Tato šablona je pracovní osnova textové části; bez doplnění skutečných údajů, individuální grafické části a odborného zpracování není úplným plánem pro konkrétní objekt.</w:t>
      </w:r>
    </w:p>
    <w:bookmarkEnd w:id="19"/>
    <w:bookmarkEnd w:id="20"/>
    <w:sectPr>
      <w:footerReference w:type="default" r:id="rId9"/>
      <w:footnotePr>
        <w:numRestart w:val="eachSect"/>
      </w:footnotePr>
      <w:pgSz w:w="11906" w:h="16838"/>
      <w:pgMar w:top="1134" w:bottom="907" w:left="1020" w:right="1020" w:foot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sz w:val="16"/>
      </w:rPr>
      <w:t xml:space="preserve">Požární apka · </w:t>
    </w:r>
    <w:fldSimple w:instr="PAGE"/>
    <w:r>
      <w:rPr>
        <w:rFonts w:ascii="Carlito" w:hAnsi="Carlito"/>
        <w:sz w:val="16"/>
      </w:rPr>
      <w:t xml:space="preserve"> / </w:t>
    </w:r>
    <w:fldSimple w:instr="NUMPAGES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cs-CZ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styleId="BodyText" w:type="paragraph">
    <w:name w:val="Body Text"/>
    <w:basedOn w:val="Normal"/>
    <w:link w:val="BodyTextChar"/>
    <w:qFormat/>
    <w:pPr>
      <w:widowControl/>
      <w:spacing w:after="140" w:before="0" w:line="283" w:lineRule="auto"/>
    </w:pPr>
    <w:rPr>
      <w:rFonts w:ascii="Caladea" w:hAnsi="Caladea"/>
      <w:color w:val="1A1A1A"/>
      <w:sz w:val="21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adea" w:hAnsi="Caladea"/>
      <w:color w:val="1A1A1A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adea" w:hAnsi="Caladea"/>
      <w:b/>
      <w:color w:val="1A1A1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adea" w:hAnsi="Caladea"/>
      <w:color w:val="1A1A1A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adea" w:hAnsi="Caladea"/>
      <w:color w:val="1A1A1A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00" w:before="0"/>
      <w:outlineLvl w:val="0"/>
    </w:pPr>
    <w:rPr>
      <w:rFonts w:asciiTheme="majorHAnsi" w:cstheme="majorBidi" w:eastAsiaTheme="majorEastAsia" w:hAnsiTheme="majorHAnsi" w:ascii="Caladea" w:hAnsi="Caladea"/>
      <w:b/>
      <w:color w:val="1A1A1A"/>
      <w:sz w:val="4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00" w:before="240"/>
      <w:outlineLvl w:val="1"/>
    </w:pPr>
    <w:rPr>
      <w:rFonts w:asciiTheme="majorHAnsi" w:cstheme="majorBidi" w:eastAsiaTheme="majorEastAsia" w:hAnsiTheme="majorHAnsi" w:ascii="Carlito" w:hAnsi="Carlito"/>
      <w:b/>
      <w:color w:val="1A1A1A"/>
      <w:sz w:val="2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40"/>
      <w:outlineLvl w:val="2"/>
    </w:pPr>
    <w:rPr>
      <w:rFonts w:cstheme="majorBidi" w:eastAsiaTheme="majorEastAsia" w:ascii="Carlito" w:hAnsi="Carlito"/>
      <w:b/>
      <w:color w:val="1A1A1A"/>
      <w:sz w:val="21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Caladea" w:hAnsi="Caladea"/>
      <w:i/>
      <w:iCs/>
      <w:color w:val="1A1A1A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Caladea" w:hAnsi="Caladea"/>
      <w:color w:val="1A1A1A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Caladea" w:hAnsi="Caladea"/>
      <w:i/>
      <w:iCs/>
      <w:color w:val="1A1A1A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Caladea" w:hAnsi="Caladea"/>
      <w:color w:val="1A1A1A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Caladea" w:hAnsi="Caladea"/>
      <w:i/>
      <w:iCs/>
      <w:color w:val="1A1A1A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Caladea" w:hAnsi="Caladea"/>
      <w:color w:val="1A1A1A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ascii="Caladea" w:hAnsi="Caladea"/>
      <w:color w:val="1A1A1A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ascii="Caladea" w:hAnsi="Caladea"/>
      <w:color w:val="1A1A1A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ascii="Caladea" w:hAnsi="Caladea"/>
      <w:color w:val="1A1A1A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ascii="Caladea" w:hAnsi="Caladea"/>
      <w:color w:val="1A1A1A"/>
    </w:rPr>
  </w:style>
  <w:style w:styleId="BlockText" w:type="paragraph">
    <w:name w:val="Block Text"/>
    <w:basedOn w:val="BodyText"/>
    <w:next w:val="BodyText"/>
    <w:uiPriority w:val="9"/>
    <w:unhideWhenUsed/>
    <w:qFormat/>
    <w:pPr>
      <w:widowControl/>
      <w:spacing w:after="140" w:before="0" w:line="283" w:lineRule="auto"/>
      <w:ind w:firstLine="0" w:left="480" w:right="480"/>
    </w:pPr>
    <w:rPr>
      <w:rFonts w:ascii="Caladea" w:hAnsi="Caladea"/>
      <w:color w:val="1A1A1A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adea" w:hAnsi="Caladea"/>
      <w:color w:val="1A1A1A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>
      <w:rFonts w:ascii="Caladea" w:hAnsi="Caladea"/>
      <w:color w:val="1A1A1A"/>
    </w:rPr>
  </w:style>
  <w:style w:default="1" w:styleId="DefaultParagraphFont" w:type="character">
    <w:name w:val="Default Paragraph Font"/>
    <w:semiHidden/>
    <w:unhideWhenUsed/>
    <w:rPr>
      <w:rFonts w:ascii="Caladea" w:hAnsi="Caladea"/>
      <w:color w:val="1A1A1A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adea" w:hAnsi="Caladea"/>
      <w:b/>
      <w:color w:val="1A1A1A"/>
    </w:rPr>
  </w:style>
  <w:style w:customStyle="1" w:styleId="Definition" w:type="paragraph">
    <w:name w:val="Definition"/>
    <w:basedOn w:val="Normal"/>
    <w:rPr>
      <w:rFonts w:ascii="Caladea" w:hAnsi="Caladea"/>
      <w:color w:val="1A1A1A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adea" w:hAnsi="Caladea"/>
      <w:i/>
      <w:color w:val="1A1A1A"/>
    </w:rPr>
  </w:style>
  <w:style w:customStyle="1" w:styleId="TableCaption" w:type="paragraph">
    <w:name w:val="Table Caption"/>
    <w:basedOn w:val="Caption"/>
    <w:pPr>
      <w:keepNext/>
    </w:pPr>
    <w:rPr>
      <w:rFonts w:ascii="Caladea" w:hAnsi="Caladea"/>
      <w:color w:val="1A1A1A"/>
    </w:rPr>
  </w:style>
  <w:style w:customStyle="1" w:styleId="ImageCaption" w:type="paragraph">
    <w:name w:val="Image Caption"/>
    <w:basedOn w:val="Caption"/>
    <w:rPr>
      <w:rFonts w:ascii="Caladea" w:hAnsi="Caladea"/>
      <w:color w:val="1A1A1A"/>
    </w:rPr>
  </w:style>
  <w:style w:customStyle="1" w:styleId="Figure" w:type="paragraph">
    <w:name w:val="Figure"/>
    <w:basedOn w:val="Normal"/>
    <w:rPr>
      <w:rFonts w:ascii="Caladea" w:hAnsi="Caladea"/>
      <w:color w:val="1A1A1A"/>
    </w:rPr>
  </w:style>
  <w:style w:customStyle="1" w:styleId="CaptionedFigure" w:type="paragraph">
    <w:name w:val="Captioned Figure"/>
    <w:basedOn w:val="Figure"/>
    <w:pPr>
      <w:keepNext/>
    </w:pPr>
    <w:rPr>
      <w:rFonts w:ascii="Caladea" w:hAnsi="Caladea"/>
      <w:color w:val="1A1A1A"/>
    </w:rPr>
  </w:style>
  <w:style w:customStyle="1" w:styleId="BodyTextChar" w:type="character">
    <w:name w:val="Body Text Char"/>
    <w:basedOn w:val="DefaultParagraphFont"/>
    <w:link w:val="BodyText"/>
    <w:rPr>
      <w:rFonts w:ascii="Caladea" w:hAnsi="Caladea"/>
      <w:color w:val="1A1A1A"/>
    </w:rPr>
  </w:style>
  <w:style w:customStyle="1" w:styleId="VerbatimChar" w:type="character">
    <w:name w:val="Verbatim Char"/>
    <w:basedOn w:val="BodyTextChar"/>
    <w:rPr>
      <w:rFonts w:ascii="Caladea" w:hAnsi="Caladea"/>
      <w:color w:val="1A1A1A"/>
      <w:sz w:val="22"/>
    </w:rPr>
  </w:style>
  <w:style w:customStyle="1" w:styleId="SectionNumber" w:type="character">
    <w:name w:val="Section Number"/>
    <w:basedOn w:val="BodyTextChar"/>
    <w:rPr>
      <w:rFonts w:ascii="Caladea" w:hAnsi="Caladea"/>
      <w:color w:val="1A1A1A"/>
    </w:rPr>
  </w:style>
  <w:style w:styleId="FootnoteReference" w:type="character">
    <w:name w:val="Footnote Reference"/>
    <w:basedOn w:val="BodyTextChar"/>
    <w:rPr>
      <w:rFonts w:ascii="Caladea" w:hAnsi="Caladea"/>
      <w:color w:val="1A1A1A"/>
      <w:vertAlign w:val="superscript"/>
    </w:rPr>
  </w:style>
  <w:style w:styleId="Hyperlink" w:type="character">
    <w:name w:val="Hyperlink"/>
    <w:basedOn w:val="BodyTextChar"/>
    <w:rPr>
      <w:rFonts w:ascii="Caladea" w:hAnsi="Caladea"/>
      <w:color w:val="1A1A1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Caladea" w:hAnsi="Caladea"/>
      <w:b w:val="0"/>
      <w:bCs w:val="0"/>
      <w:color w:val="1A1A1A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Caladea" w:hAnsi="Caladea"/>
      <w:color w:val="1A1A1A"/>
    </w:rPr>
  </w:style>
  <w:style w:type="character" w:customStyle="1" w:styleId="KeywordTok">
    <w:name w:val="KeywordTok"/>
    <w:basedOn w:val="VerbatimChar"/>
    <w:rPr>
      <w:rFonts w:ascii="Caladea" w:hAnsi="Caladea"/>
      <w:b/>
      <w:color w:val="1A1A1A"/>
    </w:rPr>
  </w:style>
  <w:style w:type="character" w:customStyle="1" w:styleId="DataTypeTok">
    <w:name w:val="DataTypeTok"/>
    <w:basedOn w:val="VerbatimChar"/>
    <w:rPr>
      <w:rFonts w:ascii="Caladea" w:hAnsi="Caladea"/>
      <w:color w:val="1A1A1A"/>
    </w:rPr>
  </w:style>
  <w:style w:type="character" w:customStyle="1" w:styleId="DecValTok">
    <w:name w:val="DecValTok"/>
    <w:basedOn w:val="VerbatimChar"/>
    <w:rPr>
      <w:rFonts w:ascii="Caladea" w:hAnsi="Caladea"/>
      <w:color w:val="1A1A1A"/>
    </w:rPr>
  </w:style>
  <w:style w:type="character" w:customStyle="1" w:styleId="BaseNTok">
    <w:name w:val="BaseNTok"/>
    <w:basedOn w:val="VerbatimChar"/>
    <w:rPr>
      <w:rFonts w:ascii="Caladea" w:hAnsi="Caladea"/>
      <w:color w:val="1A1A1A"/>
    </w:rPr>
  </w:style>
  <w:style w:type="character" w:customStyle="1" w:styleId="FloatTok">
    <w:name w:val="FloatTok"/>
    <w:basedOn w:val="VerbatimChar"/>
    <w:rPr>
      <w:rFonts w:ascii="Caladea" w:hAnsi="Caladea"/>
      <w:color w:val="1A1A1A"/>
    </w:rPr>
  </w:style>
  <w:style w:type="character" w:customStyle="1" w:styleId="ConstantTok">
    <w:name w:val="ConstantTok"/>
    <w:basedOn w:val="VerbatimChar"/>
    <w:rPr>
      <w:rFonts w:ascii="Caladea" w:hAnsi="Caladea"/>
      <w:color w:val="1A1A1A"/>
    </w:rPr>
  </w:style>
  <w:style w:type="character" w:customStyle="1" w:styleId="CharTok">
    <w:name w:val="CharTok"/>
    <w:basedOn w:val="VerbatimChar"/>
    <w:rPr>
      <w:rFonts w:ascii="Caladea" w:hAnsi="Caladea"/>
      <w:color w:val="1A1A1A"/>
    </w:rPr>
  </w:style>
  <w:style w:type="character" w:customStyle="1" w:styleId="SpecialCharTok">
    <w:name w:val="SpecialCharTok"/>
    <w:basedOn w:val="VerbatimChar"/>
    <w:rPr>
      <w:rFonts w:ascii="Caladea" w:hAnsi="Caladea"/>
      <w:color w:val="1A1A1A"/>
    </w:rPr>
  </w:style>
  <w:style w:type="character" w:customStyle="1" w:styleId="StringTok">
    <w:name w:val="StringTok"/>
    <w:basedOn w:val="VerbatimChar"/>
    <w:rPr>
      <w:rFonts w:ascii="Caladea" w:hAnsi="Caladea"/>
      <w:color w:val="1A1A1A"/>
    </w:rPr>
  </w:style>
  <w:style w:type="character" w:customStyle="1" w:styleId="VerbatimStringTok">
    <w:name w:val="VerbatimStringTok"/>
    <w:basedOn w:val="VerbatimChar"/>
    <w:rPr>
      <w:rFonts w:ascii="Caladea" w:hAnsi="Caladea"/>
      <w:color w:val="1A1A1A"/>
    </w:rPr>
  </w:style>
  <w:style w:type="character" w:customStyle="1" w:styleId="SpecialStringTok">
    <w:name w:val="SpecialStringTok"/>
    <w:basedOn w:val="VerbatimChar"/>
    <w:rPr>
      <w:rFonts w:ascii="Caladea" w:hAnsi="Caladea"/>
      <w:color w:val="1A1A1A"/>
    </w:rPr>
  </w:style>
  <w:style w:type="character" w:customStyle="1" w:styleId="ImportTok">
    <w:name w:val="ImportTok"/>
    <w:basedOn w:val="VerbatimChar"/>
    <w:rPr>
      <w:rFonts w:ascii="Caladea" w:hAnsi="Caladea"/>
      <w:b/>
      <w:color w:val="1A1A1A"/>
    </w:rPr>
  </w:style>
  <w:style w:type="character" w:customStyle="1" w:styleId="CommentTok">
    <w:name w:val="CommentTok"/>
    <w:basedOn w:val="VerbatimChar"/>
    <w:rPr>
      <w:rFonts w:ascii="Caladea" w:hAnsi="Caladea"/>
      <w:i/>
      <w:color w:val="1A1A1A"/>
    </w:rPr>
  </w:style>
  <w:style w:type="character" w:customStyle="1" w:styleId="DocumentationTok">
    <w:name w:val="DocumentationTok"/>
    <w:basedOn w:val="VerbatimChar"/>
    <w:rPr>
      <w:rFonts w:ascii="Caladea" w:hAnsi="Caladea"/>
      <w:i/>
      <w:color w:val="1A1A1A"/>
    </w:rPr>
  </w:style>
  <w:style w:type="character" w:customStyle="1" w:styleId="AnnotationTok">
    <w:name w:val="AnnotationTok"/>
    <w:basedOn w:val="VerbatimChar"/>
    <w:rPr>
      <w:rFonts w:ascii="Caladea" w:hAnsi="Caladea"/>
      <w:b/>
      <w:i/>
      <w:color w:val="1A1A1A"/>
    </w:rPr>
  </w:style>
  <w:style w:type="character" w:customStyle="1" w:styleId="CommentVarTok">
    <w:name w:val="CommentVarTok"/>
    <w:basedOn w:val="VerbatimChar"/>
    <w:rPr>
      <w:rFonts w:ascii="Caladea" w:hAnsi="Caladea"/>
      <w:b/>
      <w:i/>
      <w:color w:val="1A1A1A"/>
    </w:rPr>
  </w:style>
  <w:style w:type="character" w:customStyle="1" w:styleId="OtherTok">
    <w:name w:val="OtherTok"/>
    <w:basedOn w:val="VerbatimChar"/>
    <w:rPr>
      <w:rFonts w:ascii="Caladea" w:hAnsi="Caladea"/>
      <w:color w:val="1A1A1A"/>
    </w:rPr>
  </w:style>
  <w:style w:type="character" w:customStyle="1" w:styleId="FunctionTok">
    <w:name w:val="FunctionTok"/>
    <w:basedOn w:val="VerbatimChar"/>
    <w:rPr>
      <w:rFonts w:ascii="Caladea" w:hAnsi="Caladea"/>
      <w:color w:val="1A1A1A"/>
    </w:rPr>
  </w:style>
  <w:style w:type="character" w:customStyle="1" w:styleId="VariableTok">
    <w:name w:val="VariableTok"/>
    <w:basedOn w:val="VerbatimChar"/>
    <w:rPr>
      <w:rFonts w:ascii="Caladea" w:hAnsi="Caladea"/>
      <w:color w:val="1A1A1A"/>
    </w:rPr>
  </w:style>
  <w:style w:type="character" w:customStyle="1" w:styleId="ControlFlowTok">
    <w:name w:val="ControlFlowTok"/>
    <w:basedOn w:val="VerbatimChar"/>
    <w:rPr>
      <w:rFonts w:ascii="Caladea" w:hAnsi="Caladea"/>
      <w:b/>
      <w:color w:val="1A1A1A"/>
    </w:rPr>
  </w:style>
  <w:style w:type="character" w:customStyle="1" w:styleId="OperatorTok">
    <w:name w:val="OperatorTok"/>
    <w:basedOn w:val="VerbatimChar"/>
    <w:rPr>
      <w:rFonts w:ascii="Caladea" w:hAnsi="Caladea"/>
      <w:color w:val="1A1A1A"/>
    </w:rPr>
  </w:style>
  <w:style w:type="character" w:customStyle="1" w:styleId="BuiltInTok">
    <w:name w:val="BuiltInTok"/>
    <w:basedOn w:val="VerbatimChar"/>
    <w:rPr>
      <w:rFonts w:ascii="Caladea" w:hAnsi="Caladea"/>
      <w:color w:val="1A1A1A"/>
    </w:rPr>
  </w:style>
  <w:style w:type="character" w:customStyle="1" w:styleId="ExtensionTok">
    <w:name w:val="ExtensionTok"/>
    <w:basedOn w:val="VerbatimChar"/>
    <w:rPr>
      <w:rFonts w:ascii="Caladea" w:hAnsi="Caladea"/>
      <w:color w:val="1A1A1A"/>
    </w:rPr>
  </w:style>
  <w:style w:type="character" w:customStyle="1" w:styleId="PreprocessorTok">
    <w:name w:val="PreprocessorTok"/>
    <w:basedOn w:val="VerbatimChar"/>
    <w:rPr>
      <w:rFonts w:ascii="Caladea" w:hAnsi="Caladea"/>
      <w:color w:val="1A1A1A"/>
    </w:rPr>
  </w:style>
  <w:style w:type="character" w:customStyle="1" w:styleId="AttributeTok">
    <w:name w:val="AttributeTok"/>
    <w:basedOn w:val="VerbatimChar"/>
    <w:rPr>
      <w:rFonts w:ascii="Caladea" w:hAnsi="Caladea"/>
      <w:color w:val="1A1A1A"/>
    </w:rPr>
  </w:style>
  <w:style w:type="character" w:customStyle="1" w:styleId="RegionMarkerTok">
    <w:name w:val="RegionMarkerTok"/>
    <w:basedOn w:val="VerbatimChar"/>
    <w:rPr>
      <w:rFonts w:ascii="Caladea" w:hAnsi="Caladea"/>
      <w:color w:val="1A1A1A"/>
    </w:rPr>
  </w:style>
  <w:style w:type="character" w:customStyle="1" w:styleId="InformationTok">
    <w:name w:val="InformationTok"/>
    <w:basedOn w:val="VerbatimChar"/>
    <w:rPr>
      <w:rFonts w:ascii="Caladea" w:hAnsi="Caladea"/>
      <w:b/>
      <w:i/>
      <w:color w:val="1A1A1A"/>
    </w:rPr>
  </w:style>
  <w:style w:type="character" w:customStyle="1" w:styleId="WarningTok">
    <w:name w:val="WarningTok"/>
    <w:basedOn w:val="VerbatimChar"/>
    <w:rPr>
      <w:rFonts w:ascii="Caladea" w:hAnsi="Caladea"/>
      <w:b/>
      <w:i/>
      <w:color w:val="1A1A1A"/>
    </w:rPr>
  </w:style>
  <w:style w:type="character" w:customStyle="1" w:styleId="AlertTok">
    <w:name w:val="AlertTok"/>
    <w:basedOn w:val="VerbatimChar"/>
    <w:rPr>
      <w:rFonts w:ascii="Caladea" w:hAnsi="Caladea"/>
      <w:b/>
      <w:color w:val="1A1A1A"/>
    </w:rPr>
  </w:style>
  <w:style w:type="character" w:customStyle="1" w:styleId="ErrorTok">
    <w:name w:val="ErrorTok"/>
    <w:basedOn w:val="VerbatimChar"/>
    <w:rPr>
      <w:rFonts w:ascii="Caladea" w:hAnsi="Caladea"/>
      <w:b/>
      <w:color w:val="1A1A1A"/>
    </w:rPr>
  </w:style>
  <w:style w:type="character" w:customStyle="1" w:styleId="NormalTok">
    <w:name w:val="NormalTok"/>
    <w:basedOn w:val="VerbatimChar"/>
    <w:rPr>
      <w:rFonts w:ascii="Caladea" w:hAnsi="Caladea"/>
      <w:color w:val="1A1A1A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Požární apka</dc:creator>
  <dc:language>cs-CZ</dc:language>
  <cp:keywords/>
  <dcterms:created xsi:type="dcterms:W3CDTF">2026-09-10T22:44:29Z</dcterms:created>
  <dcterms:modified xsi:type="dcterms:W3CDTF">2026-09-10T22:44:29Z</dcterms:modified>
  <cp:lastModifiedBy>Požární apka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