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operativní-karta-dzp"/>
    <w:p>
      <w:pPr>
        <w:pStyle w:val="Heading1"/>
        <w:widowControl/>
      </w:pPr>
      <w:r>
        <w:rPr>
          <w:lang w:val="cs-CZ"/>
        </w:rPr>
        <w:t xml:space="preserve">Operativní karta DZP</w:t>
      </w:r>
    </w:p>
    <w:p>
      <w:pPr>
        <w:pStyle w:val="FirstParagraph"/>
        <w:widowControl/>
      </w:pPr>
      <w:r>
        <w:rPr>
          <w:b/>
          <w:bCs/>
          <w:lang w:val="cs-CZ"/>
        </w:rPr>
        <w:t xml:space="preserve">Textová část · šablona s pokyny · verze 7. 9. 2026</w:t>
      </w:r>
    </w:p>
    <w:bookmarkStart w:id="9" w:name="jak-šablonu-použít"/>
    <w:p>
      <w:pPr>
        <w:pStyle w:val="Heading2"/>
        <w:widowControl/>
      </w:pPr>
      <w:r>
        <w:rPr>
          <w:lang w:val="cs-CZ"/>
        </w:rPr>
        <w:t xml:space="preserve">Jak šablonu použít</w:t>
      </w:r>
    </w:p>
    <w:p>
      <w:pPr>
        <w:pStyle w:val="FirstParagraph"/>
        <w:widowControl/>
      </w:pPr>
      <w:r>
        <w:rPr>
          <w:lang w:val="cs-CZ"/>
        </w:rPr>
        <w:t xml:space="preserve">Vyplňujte ve Wordu. Nahraďte všechna pole [DOPLNIT: …] skutečnými údaji. Kurzívou jsou pokyny; před podáním je spolu s touto úvodní částí, modelovým příkladem a závěrečnou nabídkou odstraňte. PDF slouží jako náhled.</w:t>
      </w:r>
    </w:p>
    <w:p>
      <w:pPr>
        <w:pStyle w:val="BodyText"/>
        <w:widowControl/>
      </w:pPr>
      <w:r>
        <w:rPr>
          <w:lang w:val="cs-CZ"/>
        </w:rPr>
        <w:t xml:space="preserve">Osnova vychází z § 34 odst. 4 vyhlášky č. 246/2001 Sb. Text doplňte grafickou částí podle aktuálního vzoru příslušného HZS kraje. DZP zpracovává odborně způsobilá osoba (OZO) nebo technik požární ochrany. Schválení za provozovatele nenahrazuje schválení orgánem státního požárního dozoru podle § 6b zákona č. 133/1985 Sb.</w:t>
      </w:r>
    </w:p>
    <w:p>
      <w:pPr>
        <w:pStyle w:val="BodyText"/>
        <w:widowControl/>
      </w:pPr>
      <w:r>
        <w:rPr>
          <w:lang w:val="cs-CZ"/>
        </w:rPr>
        <w:t xml:space="preserve">Pište stručně. Neexistující zařízení vynechte, dovoluje-li to krajský vzor; neověřený údaj ponechte k doplnění. Důležité údaje doložte a ověřte soulad se skutečností. Čísla místností a označení zařízení musí odpovídat výkresům.</w:t>
      </w:r>
    </w:p>
    <w:bookmarkEnd w:id="9"/>
    <w:bookmarkStart w:id="10" w:name="hlavička"/>
    <w:p>
      <w:pPr>
        <w:pStyle w:val="Heading2"/>
        <w:widowControl/>
      </w:pPr>
      <w:r>
        <w:rPr>
          <w:lang w:val="cs-CZ"/>
        </w:rPr>
        <w:t xml:space="preserve">Hlavička</w:t>
      </w:r>
    </w:p>
    <w:tbl>
      <w:tblPr>
        <w:tblStyle w:val="Table"/>
        <w:tblW w:type="auto" w:w="0"/>
        <w:tblLayout w:type="fixed"/>
        <w:tblLook w:firstRow="1" w:lastRow="0" w:firstColumn="0" w:lastColumn="0" w:noHBand="0" w:noVBand="0" w:val="0020"/>
      </w:tblPr>
      <w:tblGrid>
        <w:gridCol w:w="4932"/>
        <w:gridCol w:w="4932"/>
      </w:tblGrid>
      <w:tr>
        <w:trPr>
          <w:tblHeader w:val="on"/>
          <w:cantSplit/>
          <w:tblHeader/>
        </w:trPr>
        <w:tc>
          <w:tcPr>
            <w:tcW w:type="dxa" w:w="4932"/>
          </w:tcPr>
          <w:p>
            <w:pPr>
              <w:pStyle w:val="Compact"/>
              <w:keepNext/>
              <w:spacing w:before="60" w:after="80"/>
            </w:pPr>
            <w:r>
              <w:rPr>
                <w:rFonts w:ascii="Carlito" w:hAnsi="Carlito"/>
                <w:b/>
                <w:sz w:val="19"/>
                <w:lang w:val="cs-CZ"/>
              </w:rPr>
              <w:t xml:space="preserve">Údaj</w:t>
            </w:r>
          </w:p>
        </w:tc>
        <w:tc>
          <w:tcPr>
            <w:tcW w:type="dxa" w:w="4932"/>
          </w:tcPr>
          <w:p>
            <w:pPr>
              <w:pStyle w:val="Compact"/>
              <w:keepNext/>
              <w:spacing w:before="60" w:after="80"/>
            </w:pPr>
            <w:r>
              <w:rPr>
                <w:rFonts w:ascii="Carlito" w:hAnsi="Carlito"/>
                <w:b/>
                <w:sz w:val="19"/>
                <w:lang w:val="cs-CZ"/>
              </w:rPr>
              <w:t xml:space="preserve">Vyplňte</w:t>
            </w:r>
          </w:p>
        </w:tc>
      </w:tr>
      <w:tr>
        <w:trPr>
          <w:cantSplit/>
        </w:trPr>
        <w:tc>
          <w:tcPr>
            <w:tcW w:type="dxa" w:w="4932"/>
          </w:tcPr>
          <w:p>
            <w:pPr>
              <w:pStyle w:val="Compact"/>
              <w:keepNext w:val="0"/>
              <w:spacing w:before="60" w:after="80"/>
            </w:pPr>
            <w:r>
              <w:rPr>
                <w:sz w:val="19"/>
                <w:lang w:val="cs-CZ"/>
              </w:rPr>
              <w:t xml:space="preserve">Objekt a provoz</w:t>
            </w:r>
          </w:p>
        </w:tc>
        <w:tc>
          <w:tcPr>
            <w:tcW w:type="dxa" w:w="4932"/>
          </w:tcPr>
          <w:p>
            <w:pPr>
              <w:pStyle w:val="Compact"/>
              <w:keepNext w:val="0"/>
              <w:spacing w:before="60" w:after="80"/>
            </w:pPr>
            <w:r>
              <w:rPr>
                <w:sz w:val="19"/>
                <w:lang w:val="cs-CZ"/>
              </w:rPr>
              <w:t xml:space="preserve">[DOPLNIT: název]</w:t>
            </w:r>
          </w:p>
        </w:tc>
      </w:tr>
      <w:tr>
        <w:trPr>
          <w:cantSplit/>
        </w:trPr>
        <w:tc>
          <w:tcPr>
            <w:tcW w:type="dxa" w:w="4932"/>
          </w:tcPr>
          <w:p>
            <w:pPr>
              <w:pStyle w:val="Compact"/>
              <w:keepNext w:val="0"/>
              <w:spacing w:before="60" w:after="80"/>
            </w:pPr>
            <w:r>
              <w:rPr>
                <w:sz w:val="19"/>
                <w:lang w:val="cs-CZ"/>
              </w:rPr>
              <w:t xml:space="preserve">Přesná adresa</w:t>
            </w:r>
          </w:p>
        </w:tc>
        <w:tc>
          <w:tcPr>
            <w:tcW w:type="dxa" w:w="4932"/>
          </w:tcPr>
          <w:p>
            <w:pPr>
              <w:pStyle w:val="Compact"/>
              <w:keepNext w:val="0"/>
              <w:spacing w:before="60" w:after="80"/>
            </w:pPr>
            <w:r>
              <w:rPr>
                <w:sz w:val="19"/>
                <w:lang w:val="cs-CZ"/>
              </w:rPr>
              <w:t xml:space="preserve">[DOPLNIT: ulice, číslo, obec]</w:t>
            </w:r>
          </w:p>
        </w:tc>
      </w:tr>
      <w:tr>
        <w:trPr>
          <w:cantSplit/>
        </w:trPr>
        <w:tc>
          <w:tcPr>
            <w:tcW w:type="dxa" w:w="4932"/>
          </w:tcPr>
          <w:p>
            <w:pPr>
              <w:pStyle w:val="Compact"/>
              <w:keepNext w:val="0"/>
              <w:spacing w:before="60" w:after="80"/>
            </w:pPr>
            <w:r>
              <w:rPr>
                <w:sz w:val="19"/>
                <w:lang w:val="cs-CZ"/>
              </w:rPr>
              <w:t xml:space="preserve">Provozovatel</w:t>
            </w:r>
          </w:p>
        </w:tc>
        <w:tc>
          <w:tcPr>
            <w:tcW w:type="dxa" w:w="4932"/>
          </w:tcPr>
          <w:p>
            <w:pPr>
              <w:pStyle w:val="Compact"/>
              <w:keepNext w:val="0"/>
              <w:spacing w:before="60" w:after="80"/>
            </w:pPr>
            <w:r>
              <w:rPr>
                <w:sz w:val="19"/>
                <w:lang w:val="cs-CZ"/>
              </w:rPr>
              <w:t xml:space="preserve">[DOPLNIT: název / jméno, IČO]</w:t>
            </w:r>
          </w:p>
        </w:tc>
      </w:tr>
      <w:tr>
        <w:trPr>
          <w:cantSplit/>
        </w:trPr>
        <w:tc>
          <w:tcPr>
            <w:tcW w:type="dxa" w:w="4932"/>
          </w:tcPr>
          <w:p>
            <w:pPr>
              <w:pStyle w:val="Compact"/>
              <w:keepNext w:val="0"/>
              <w:spacing w:before="60" w:after="80"/>
            </w:pPr>
            <w:r>
              <w:rPr>
                <w:sz w:val="19"/>
                <w:lang w:val="cs-CZ"/>
              </w:rPr>
              <w:t xml:space="preserve">Rozsah karty</w:t>
            </w:r>
          </w:p>
        </w:tc>
        <w:tc>
          <w:tcPr>
            <w:tcW w:type="dxa" w:w="4932"/>
          </w:tcPr>
          <w:p>
            <w:pPr>
              <w:pStyle w:val="Compact"/>
              <w:keepNext w:val="0"/>
              <w:spacing w:before="60" w:after="80"/>
            </w:pPr>
            <w:r>
              <w:rPr>
                <w:sz w:val="19"/>
                <w:lang w:val="cs-CZ"/>
              </w:rPr>
              <w:t xml:space="preserve">[DOPLNIT: budova, provoz, podlaží nebo část areálu]</w:t>
            </w:r>
          </w:p>
        </w:tc>
      </w:tr>
      <w:tr>
        <w:trPr>
          <w:cantSplit/>
        </w:trPr>
        <w:tc>
          <w:tcPr>
            <w:tcW w:type="dxa" w:w="4932"/>
          </w:tcPr>
          <w:p>
            <w:pPr>
              <w:pStyle w:val="Compact"/>
              <w:keepNext w:val="0"/>
              <w:spacing w:before="60" w:after="80"/>
            </w:pPr>
            <w:r>
              <w:rPr>
                <w:sz w:val="19"/>
                <w:lang w:val="cs-CZ"/>
              </w:rPr>
              <w:t xml:space="preserve">Kontakt se znalostí objektu</w:t>
            </w:r>
          </w:p>
        </w:tc>
        <w:tc>
          <w:tcPr>
            <w:tcW w:type="dxa" w:w="4932"/>
          </w:tcPr>
          <w:p>
            <w:pPr>
              <w:pStyle w:val="Compact"/>
              <w:keepNext w:val="0"/>
              <w:spacing w:before="60" w:after="80"/>
            </w:pPr>
            <w:r>
              <w:rPr>
                <w:sz w:val="19"/>
                <w:lang w:val="cs-CZ"/>
              </w:rPr>
              <w:t xml:space="preserve">[DOPLNIT: funkce, jméno, telefon a dosažitelnost]</w:t>
            </w:r>
          </w:p>
        </w:tc>
      </w:tr>
      <w:tr>
        <w:trPr>
          <w:cantSplit/>
        </w:trPr>
        <w:tc>
          <w:tcPr>
            <w:tcW w:type="dxa" w:w="4932"/>
          </w:tcPr>
          <w:p>
            <w:pPr>
              <w:pStyle w:val="Compact"/>
              <w:keepNext w:val="0"/>
              <w:spacing w:before="60" w:after="80"/>
            </w:pPr>
            <w:r>
              <w:rPr>
                <w:sz w:val="19"/>
                <w:lang w:val="cs-CZ"/>
              </w:rPr>
              <w:t xml:space="preserve">Stupeň poplachu, požaduje-li jej krajský vzor</w:t>
            </w:r>
          </w:p>
        </w:tc>
        <w:tc>
          <w:tcPr>
            <w:tcW w:type="dxa" w:w="4932"/>
          </w:tcPr>
          <w:p>
            <w:pPr>
              <w:pStyle w:val="Compact"/>
              <w:keepNext w:val="0"/>
              <w:spacing w:before="60" w:after="80"/>
            </w:pPr>
            <w:r>
              <w:rPr>
                <w:sz w:val="19"/>
                <w:lang w:val="cs-CZ"/>
              </w:rPr>
              <w:t xml:space="preserve">[DOPLNIT: stupeň a podklad jeho stanovení]</w:t>
            </w:r>
          </w:p>
        </w:tc>
      </w:tr>
      <w:tr>
        <w:trPr>
          <w:cantSplit/>
        </w:trPr>
        <w:tc>
          <w:tcPr>
            <w:tcW w:type="dxa" w:w="4932"/>
          </w:tcPr>
          <w:p>
            <w:pPr>
              <w:pStyle w:val="Compact"/>
              <w:keepNext w:val="0"/>
              <w:spacing w:before="60" w:after="80"/>
            </w:pPr>
            <w:r>
              <w:rPr>
                <w:sz w:val="19"/>
                <w:lang w:val="cs-CZ"/>
              </w:rPr>
              <w:t xml:space="preserve">Verze dokumentu a datum zpracování</w:t>
            </w:r>
          </w:p>
        </w:tc>
        <w:tc>
          <w:tcPr>
            <w:tcW w:type="dxa" w:w="4932"/>
          </w:tcPr>
          <w:p>
            <w:pPr>
              <w:pStyle w:val="Compact"/>
              <w:keepNext w:val="0"/>
              <w:spacing w:before="60" w:after="80"/>
            </w:pPr>
            <w:r>
              <w:rPr>
                <w:sz w:val="19"/>
                <w:lang w:val="cs-CZ"/>
              </w:rPr>
              <w:t xml:space="preserve">[DOPLNIT]</w:t>
            </w:r>
          </w:p>
        </w:tc>
      </w:tr>
    </w:tbl>
    <w:p>
      <w:pPr>
        <w:pStyle w:val="BodyText"/>
        <w:keepNext w:val="0"/>
        <w:widowControl/>
      </w:pPr>
      <w:r>
        <w:rPr>
          <w:i/>
          <w:iCs/>
          <w:lang w:val="cs-CZ"/>
        </w:rPr>
        <w:t xml:space="preserve">Stupeň poplachu nepředvyplňujte. Doložte jej potřebou sil a prostředků a příslušným požárním poplachovým plánem kraje. Operativně taktická studie je součástí základního textu operativního plánu (§ 34 odst. 3); u karty ověřte rozsah doložení s místním HZS. Samotné číslo stupně nezakládá zákonnou povinnost studie.</w:t>
      </w:r>
    </w:p>
    <w:bookmarkEnd w:id="10"/>
    <w:bookmarkStart w:id="11" w:name="Xa136be947753b1f887600ce3484ac0134c19cae"/>
    <w:p>
      <w:pPr>
        <w:pStyle w:val="Heading2"/>
        <w:widowControl/>
      </w:pPr>
      <w:r>
        <w:rPr>
          <w:lang w:val="cs-CZ"/>
        </w:rPr>
        <w:t xml:space="preserve">1. Popis a charakter objektu</w:t>
      </w:r>
    </w:p>
    <w:p>
      <w:pPr>
        <w:pStyle w:val="FirstParagraph"/>
        <w:keepNext/>
        <w:widowControl/>
      </w:pPr>
      <w:r>
        <w:rPr>
          <w:i/>
          <w:iCs/>
          <w:lang w:val="cs-CZ"/>
        </w:rPr>
        <w:t xml:space="preserve">Uveďte provoz, podlaží, požární a celkovou výšku, konstrukce a požární úseky podle PBŘ. Doplňte počty osob, osoby vyžadující pomoc, únikové a zásahové cesty, výtahy, vstupy a zamykání, stálou službu a shromaždiště. Změny proti projektu doložte.</w:t>
      </w:r>
    </w:p>
    <w:p>
      <w:pPr>
        <w:pStyle w:val="BodyText"/>
        <w:widowControl/>
        <w:spacing w:after="200"/>
      </w:pPr>
      <w:r>
        <w:rPr>
          <w:lang w:val="cs-CZ"/>
        </w:rPr>
        <w:t xml:space="preserve">[DOPLNIT: stručný popis a odkazy na podklady]</w:t>
      </w:r>
    </w:p>
    <w:p>
      <w:pPr>
        <w:pStyle w:val="BlockText"/>
        <w:widowControl/>
      </w:pPr>
      <w:r>
        <w:rPr>
          <w:b/>
          <w:bCs/>
          <w:lang w:val="cs-CZ"/>
        </w:rPr>
        <w:t xml:space="preserve">Modelový příklad formulace, nikoli údaj k převzetí:</w:t>
      </w:r>
      <w:r>
        <w:rPr>
          <w:lang w:val="cs-CZ"/>
        </w:rPr>
        <w:t xml:space="preserve"> </w:t>
      </w:r>
      <w:r>
        <w:rPr>
          <w:lang w:val="cs-CZ"/>
        </w:rPr>
        <w:t xml:space="preserve">Vstup pro jednotky je z ulice [název], dveřmi označenými [značka ve výkresu]. Klíč zpřístupní [funkce a telefon]. Režim vstupu ověřen při prohlídce [datum].</w:t>
      </w:r>
    </w:p>
    <w:bookmarkEnd w:id="11"/>
    <w:bookmarkStart w:id="12" w:name="Xb5a840b3e81a056758457376e516213a562b585"/>
    <w:p>
      <w:pPr>
        <w:pStyle w:val="Heading2"/>
        <w:widowControl/>
      </w:pPr>
      <w:r>
        <w:rPr>
          <w:lang w:val="cs-CZ"/>
        </w:rPr>
        <w:t xml:space="preserve">2. Příjezd a nástupní plochy</w:t>
      </w:r>
    </w:p>
    <w:p>
      <w:pPr>
        <w:pStyle w:val="FirstParagraph"/>
        <w:keepNext/>
        <w:widowControl/>
      </w:pPr>
      <w:r>
        <w:rPr>
          <w:i/>
          <w:iCs/>
          <w:lang w:val="cs-CZ"/>
        </w:rPr>
        <w:t xml:space="preserve">Trasa požární techniky, průjezdná šířka a výška, doložená únosnost, závory a jejich otevření. Označte nástupní plochy ve výkresu; potřebu jejich zřízení nepřebírejte z příkladu jiného objektu.</w:t>
      </w:r>
    </w:p>
    <w:p>
      <w:pPr>
        <w:pStyle w:val="BodyText"/>
        <w:widowControl/>
        <w:spacing w:after="200"/>
      </w:pPr>
      <w:r>
        <w:rPr>
          <w:lang w:val="cs-CZ"/>
        </w:rPr>
        <w:t xml:space="preserve">[DOPLNIT: příjezd, omezení, ovládání vjezdu a označení ploch]</w:t>
      </w:r>
    </w:p>
    <w:bookmarkEnd w:id="12"/>
    <w:bookmarkStart w:id="13" w:name="Xebdb4660f086d86195feed8f3f2b056a743b9e9"/>
    <w:p>
      <w:pPr>
        <w:pStyle w:val="Heading2"/>
        <w:widowControl/>
      </w:pPr>
      <w:r>
        <w:rPr>
          <w:lang w:val="cs-CZ"/>
        </w:rPr>
        <w:t xml:space="preserve">3. Plyn</w:t>
      </w:r>
    </w:p>
    <w:p>
      <w:pPr>
        <w:pStyle w:val="FirstParagraph"/>
        <w:keepNext/>
        <w:widowControl/>
      </w:pPr>
      <w:r>
        <w:rPr>
          <w:i/>
          <w:iCs/>
          <w:lang w:val="cs-CZ"/>
        </w:rPr>
        <w:t xml:space="preserve">Je-li zaveden, uveďte hlavní uzávěr plynu (HUP), přístup k němu, další rozhodné uzávěry a umístění plynových spotřebičů či kotelny.</w:t>
      </w:r>
    </w:p>
    <w:p>
      <w:pPr>
        <w:pStyle w:val="BodyText"/>
        <w:widowControl/>
        <w:spacing w:after="200"/>
      </w:pPr>
      <w:r>
        <w:rPr>
          <w:lang w:val="cs-CZ"/>
        </w:rPr>
        <w:t xml:space="preserve">[DOPLNIT: umístění, přístup a označení uzávěrů ve výkresu]</w:t>
      </w:r>
    </w:p>
    <w:bookmarkEnd w:id="13"/>
    <w:bookmarkStart w:id="16" w:name="X91ef8c5082dc1f555f63deca30bb2d44456f15b"/>
    <w:p>
      <w:pPr>
        <w:pStyle w:val="Heading2"/>
        <w:widowControl/>
      </w:pPr>
      <w:r>
        <w:rPr>
          <w:lang w:val="cs-CZ"/>
        </w:rPr>
        <w:t xml:space="preserve">4. Elektrická energie</w:t>
      </w:r>
    </w:p>
    <w:p>
      <w:pPr>
        <w:pStyle w:val="FirstParagraph"/>
        <w:keepNext/>
        <w:widowControl/>
      </w:pPr>
      <w:r>
        <w:rPr>
          <w:i/>
          <w:iCs/>
          <w:lang w:val="cs-CZ"/>
        </w:rPr>
        <w:t xml:space="preserve">Rozlište hlavní vypínač, CENTRAL STOP a TOTAL STOP. Doložte umístění a skutečný rozsah vypnutí podle elektroprojektu a provozní dokumentace. Popište části, které zůstávají pod napětím, včetně záložních zdrojů, fotovoltaiky a baterií. Název tlačítka není dokladem bezpečného odpojení všech zdrojů.</w:t>
      </w:r>
    </w:p>
    <w:tbl>
      <w:tblPr>
        <w:tblStyle w:val="Table"/>
        <w:tblW w:type="auto" w:w="0"/>
        <w:tblLayout w:type="fixed"/>
        <w:tblLook w:firstRow="1" w:lastRow="0" w:firstColumn="0" w:lastColumn="0" w:noHBand="0" w:noVBand="0" w:val="0020"/>
      </w:tblPr>
      <w:tblGrid>
        <w:gridCol w:w="3288"/>
        <w:gridCol w:w="3288"/>
        <w:gridCol w:w="3288"/>
      </w:tblGrid>
      <w:tr>
        <w:trPr>
          <w:tblHeader w:val="on"/>
          <w:cantSplit/>
          <w:tblHeader/>
        </w:trPr>
        <w:tc>
          <w:tcPr>
            <w:tcW w:type="dxa" w:w="3288"/>
          </w:tcPr>
          <w:p>
            <w:pPr>
              <w:pStyle w:val="Compact"/>
              <w:keepNext/>
              <w:spacing w:before="60" w:after="80"/>
            </w:pPr>
            <w:r>
              <w:rPr>
                <w:rFonts w:ascii="Carlito" w:hAnsi="Carlito"/>
                <w:b/>
                <w:sz w:val="19"/>
                <w:lang w:val="cs-CZ"/>
              </w:rPr>
              <w:t xml:space="preserve">Prvek a poloha</w:t>
            </w:r>
          </w:p>
        </w:tc>
        <w:tc>
          <w:tcPr>
            <w:tcW w:type="dxa" w:w="3288"/>
          </w:tcPr>
          <w:p>
            <w:pPr>
              <w:pStyle w:val="Compact"/>
              <w:keepNext/>
              <w:spacing w:before="60" w:after="80"/>
            </w:pPr>
            <w:r>
              <w:rPr>
                <w:rFonts w:ascii="Carlito" w:hAnsi="Carlito"/>
                <w:b/>
                <w:sz w:val="19"/>
                <w:lang w:val="cs-CZ"/>
              </w:rPr>
              <w:t xml:space="preserve">Co vypíná</w:t>
            </w:r>
          </w:p>
        </w:tc>
        <w:tc>
          <w:tcPr>
            <w:tcW w:type="dxa" w:w="3288"/>
          </w:tcPr>
          <w:p>
            <w:pPr>
              <w:pStyle w:val="Compact"/>
              <w:keepNext/>
              <w:spacing w:before="60" w:after="80"/>
            </w:pPr>
            <w:r>
              <w:rPr>
                <w:rFonts w:ascii="Carlito" w:hAnsi="Carlito"/>
                <w:b/>
                <w:sz w:val="19"/>
                <w:lang w:val="cs-CZ"/>
              </w:rPr>
              <w:t xml:space="preserve">Co zůstává pod napětím / zdroj</w:t>
            </w:r>
          </w:p>
        </w:tc>
      </w:tr>
      <w:tr>
        <w:trPr>
          <w:cantSplit/>
        </w:trPr>
        <w:tc>
          <w:tcPr>
            <w:tcW w:type="dxa" w:w="3288"/>
          </w:tcPr>
          <w:p>
            <w:pPr>
              <w:pStyle w:val="Compact"/>
              <w:keepNext w:val="0"/>
              <w:spacing w:before="60" w:after="80"/>
            </w:pPr>
            <w:r>
              <w:rPr>
                <w:sz w:val="19"/>
                <w:lang w:val="cs-CZ"/>
              </w:rPr>
              <w:t xml:space="preserve">[DOPLNIT]</w:t>
            </w:r>
          </w:p>
        </w:tc>
        <w:tc>
          <w:tcPr>
            <w:tcW w:type="dxa" w:w="3288"/>
          </w:tcPr>
          <w:p>
            <w:pPr>
              <w:pStyle w:val="Compact"/>
              <w:keepNext w:val="0"/>
              <w:spacing w:before="60" w:after="80"/>
            </w:pPr>
            <w:r>
              <w:rPr>
                <w:sz w:val="19"/>
                <w:lang w:val="cs-CZ"/>
              </w:rPr>
              <w:t xml:space="preserve">[DOPLNIT]</w:t>
            </w:r>
          </w:p>
        </w:tc>
        <w:tc>
          <w:tcPr>
            <w:tcW w:type="dxa" w:w="3288"/>
          </w:tcPr>
          <w:p>
            <w:pPr>
              <w:pStyle w:val="Compact"/>
              <w:keepNext w:val="0"/>
              <w:spacing w:before="60" w:after="80"/>
            </w:pPr>
            <w:r>
              <w:rPr>
                <w:sz w:val="19"/>
                <w:lang w:val="cs-CZ"/>
              </w:rPr>
              <w:t xml:space="preserve">[DOPLNIT]</w:t>
            </w:r>
          </w:p>
        </w:tc>
      </w:tr>
    </w:tbl>
    <w:p>
      <w:pPr>
        <w:pStyle w:val="BodyText"/>
        <w:keepNext w:val="0"/>
        <w:widowControl/>
      </w:pPr>
      <w:r>
        <w:rPr>
          <w:i/>
          <w:iCs/>
          <w:lang w:val="cs-CZ"/>
        </w:rPr>
        <w:t xml:space="preserve">Vypínací prvky CENTRAL STOP a TOTAL STOP jsou od 1. 1. 2026 výslovně uvedeny mezi požárně bezpečnostními zařízeními v § 2 odst. 4 vyhlášky č. 246/2001 Sb.</w:t>
      </w:r>
    </w:p>
    <w:bookmarkStart w:id="14" w:name="X7427219bb917afba22662d26d6432026672e1ea"/>
    <w:p>
      <w:pPr>
        <w:pStyle w:val="Heading3"/>
        <w:widowControl/>
      </w:pPr>
      <w:r>
        <w:rPr>
          <w:lang w:val="cs-CZ"/>
        </w:rPr>
        <w:t xml:space="preserve">Fotovoltaika a bateriové úložiště, jsou-li instalovány</w:t>
      </w:r>
    </w:p>
    <w:p>
      <w:pPr>
        <w:pStyle w:val="FirstParagraph"/>
        <w:keepNext/>
        <w:widowControl/>
      </w:pPr>
      <w:r>
        <w:rPr>
          <w:i/>
          <w:iCs/>
          <w:lang w:val="cs-CZ"/>
        </w:rPr>
        <w:t xml:space="preserve">Výkon FVE, poloha panelů, měničů a baterií, jejich kapacita a typ. Popište postup nouzového vypnutí, ovládací místo, odpojované části a zbytková rizika. Panely mohou za osvětlení vyrábět napětí i po vypnutí; podle zapojení určete živé části a DC trasy. U baterie doložte, co její odpojení skutečně oddělí.</w:t>
      </w:r>
    </w:p>
    <w:p>
      <w:pPr>
        <w:pStyle w:val="BodyText"/>
        <w:widowControl/>
        <w:spacing w:after="200"/>
      </w:pPr>
      <w:r>
        <w:rPr>
          <w:lang w:val="cs-CZ"/>
        </w:rPr>
        <w:t xml:space="preserve">[DOPLNIT: zařízení, vypnutí, živé části, trasy a zdroj ověření]</w:t>
      </w:r>
    </w:p>
    <w:bookmarkEnd w:id="14"/>
    <w:bookmarkStart w:id="15" w:name="dobíjecí-stanice-jsou-li-instalovány"/>
    <w:p>
      <w:pPr>
        <w:pStyle w:val="Heading3"/>
        <w:widowControl/>
      </w:pPr>
      <w:r>
        <w:rPr>
          <w:lang w:val="cs-CZ"/>
        </w:rPr>
        <w:t xml:space="preserve">Dobíjecí stanice, jsou-li instalovány</w:t>
      </w:r>
    </w:p>
    <w:p>
      <w:pPr>
        <w:pStyle w:val="FirstParagraph"/>
        <w:keepNext/>
        <w:widowControl/>
      </w:pPr>
      <w:r>
        <w:rPr>
          <w:i/>
          <w:iCs/>
          <w:lang w:val="cs-CZ"/>
        </w:rPr>
        <w:t xml:space="preserve">Počet, umístění, AC/DC a výkon bodů; odpojení, ovládací místo a případná vazba na elektrickou požární signalizaci (EPS). Funkci odpojení doložte; automatické vypnutí nepředpokládejte.</w:t>
      </w:r>
    </w:p>
    <w:p>
      <w:pPr>
        <w:pStyle w:val="BodyText"/>
        <w:widowControl/>
        <w:spacing w:after="200"/>
      </w:pPr>
      <w:r>
        <w:rPr>
          <w:lang w:val="cs-CZ"/>
        </w:rPr>
        <w:t xml:space="preserve">[DOPLNIT: body, vypnutí, vazby a označení ve výkresu]</w:t>
      </w:r>
    </w:p>
    <w:bookmarkEnd w:id="15"/>
    <w:bookmarkEnd w:id="16"/>
    <w:bookmarkStart w:id="17" w:name="X710d9977f5d108d80bca276ee79b91d9bb86faf"/>
    <w:p>
      <w:pPr>
        <w:pStyle w:val="Heading2"/>
        <w:widowControl/>
      </w:pPr>
      <w:r>
        <w:rPr>
          <w:lang w:val="cs-CZ"/>
        </w:rPr>
        <w:t xml:space="preserve">5. Voda a zdroje pro hašení</w:t>
      </w:r>
    </w:p>
    <w:p>
      <w:pPr>
        <w:pStyle w:val="FirstParagraph"/>
        <w:keepNext/>
        <w:widowControl/>
      </w:pPr>
      <w:r>
        <w:rPr>
          <w:i/>
          <w:iCs/>
          <w:lang w:val="cs-CZ"/>
        </w:rPr>
        <w:t xml:space="preserve">Hlavní uzávěr vody (HUV), další rozhodné uzávěry a zdroje požární vody. U vnějšího odběrního místa uveďte polohu, přístup, vzdálenost a doloženou vydatnost či objem. Průměr potrubí sám nepotvrzuje průtok. Vnitřní hydranty uvádějte podle pokynů příslušného HZS kraje.</w:t>
      </w:r>
    </w:p>
    <w:p>
      <w:pPr>
        <w:pStyle w:val="BodyText"/>
        <w:widowControl/>
        <w:spacing w:after="200"/>
      </w:pPr>
      <w:r>
        <w:rPr>
          <w:lang w:val="cs-CZ"/>
        </w:rPr>
        <w:t xml:space="preserve">[DOPLNIT: uzávěry, odběrní místa, parametry a podklady]</w:t>
      </w:r>
    </w:p>
    <w:bookmarkEnd w:id="17"/>
    <w:bookmarkStart w:id="18" w:name="X01760a94e40359668de3408eb45e853c8b1c1fc"/>
    <w:p>
      <w:pPr>
        <w:pStyle w:val="Heading2"/>
        <w:widowControl/>
      </w:pPr>
      <w:r>
        <w:rPr>
          <w:lang w:val="cs-CZ"/>
        </w:rPr>
        <w:t xml:space="preserve">6. Hasicí látky a prostředky</w:t>
      </w:r>
    </w:p>
    <w:p>
      <w:pPr>
        <w:pStyle w:val="FirstParagraph"/>
        <w:keepNext/>
        <w:widowControl/>
      </w:pPr>
      <w:r>
        <w:rPr>
          <w:i/>
          <w:iCs/>
          <w:lang w:val="cs-CZ"/>
        </w:rPr>
        <w:t xml:space="preserve">Speciální hasiva a omezení použití odvoďte od konkrétních látek, zařízení a bezpečnostních listů. Přenosné hasicí přístroje uvádějte v rozsahu požadovaném krajským vzorem.</w:t>
      </w:r>
    </w:p>
    <w:p>
      <w:pPr>
        <w:pStyle w:val="BodyText"/>
        <w:widowControl/>
        <w:spacing w:after="200"/>
      </w:pPr>
      <w:r>
        <w:rPr>
          <w:lang w:val="cs-CZ"/>
        </w:rPr>
        <w:t xml:space="preserve">[DOPLNIT: vhodná hasiva, omezení, prostředky a zdroj]</w:t>
      </w:r>
    </w:p>
    <w:bookmarkEnd w:id="18"/>
    <w:bookmarkStart w:id="19" w:name="X790f497133f272da5a63e0715ff1809894a0859"/>
    <w:p>
      <w:pPr>
        <w:pStyle w:val="Heading2"/>
        <w:widowControl/>
      </w:pPr>
      <w:r>
        <w:rPr>
          <w:lang w:val="cs-CZ"/>
        </w:rPr>
        <w:t xml:space="preserve">7. Požárně bezpečnostní zařízení a ovládání</w:t>
      </w:r>
    </w:p>
    <w:p>
      <w:pPr>
        <w:pStyle w:val="FirstParagraph"/>
        <w:keepNext/>
        <w:widowControl/>
      </w:pPr>
      <w:r>
        <w:rPr>
          <w:i/>
          <w:iCs/>
          <w:lang w:val="cs-CZ"/>
        </w:rPr>
        <w:t xml:space="preserve">Popište instalovaná zařízení a obsluhu. U EPS uveďte ústřednu, službu, přenos na pult centralizované ochrany (PCO), klíčový trezor požární ochrany (KTPO) a obslužné pole požární ochrany (OPPO), jsou-li zřízeny. Z ověřené dokumentace převezměte, co a kdy EPS ovládá a co vyžaduje ruční zásah. Uveďte i ostatní instalovaná zařízení bez vazby na EPS.</w:t>
      </w:r>
    </w:p>
    <w:tbl>
      <w:tblPr>
        <w:tblStyle w:val="Table"/>
        <w:tblW w:type="auto" w:w="0"/>
        <w:tblLayout w:type="fixed"/>
        <w:tblLook w:firstRow="1" w:lastRow="0" w:firstColumn="0" w:lastColumn="0" w:noHBand="0" w:noVBand="0" w:val="0020"/>
      </w:tblPr>
      <w:tblGrid>
        <w:gridCol w:w="3288"/>
        <w:gridCol w:w="3288"/>
        <w:gridCol w:w="3288"/>
      </w:tblGrid>
      <w:tr>
        <w:trPr>
          <w:tblHeader w:val="on"/>
          <w:cantSplit/>
          <w:tblHeader/>
        </w:trPr>
        <w:tc>
          <w:tcPr>
            <w:tcW w:type="dxa" w:w="3288"/>
          </w:tcPr>
          <w:p>
            <w:pPr>
              <w:pStyle w:val="Compact"/>
              <w:keepNext/>
              <w:spacing w:before="60" w:after="80"/>
            </w:pPr>
            <w:r>
              <w:rPr>
                <w:rFonts w:ascii="Carlito" w:hAnsi="Carlito"/>
                <w:b/>
                <w:sz w:val="19"/>
                <w:lang w:val="cs-CZ"/>
              </w:rPr>
              <w:t xml:space="preserve">Zařízení / poloha</w:t>
            </w:r>
          </w:p>
        </w:tc>
        <w:tc>
          <w:tcPr>
            <w:tcW w:type="dxa" w:w="3288"/>
          </w:tcPr>
          <w:p>
            <w:pPr>
              <w:pStyle w:val="Compact"/>
              <w:keepNext/>
              <w:spacing w:before="60" w:after="80"/>
            </w:pPr>
            <w:r>
              <w:rPr>
                <w:rFonts w:ascii="Carlito" w:hAnsi="Carlito"/>
                <w:b/>
                <w:sz w:val="19"/>
                <w:lang w:val="cs-CZ"/>
              </w:rPr>
              <w:t xml:space="preserve">Reakce při požáru a ovládání</w:t>
            </w:r>
          </w:p>
        </w:tc>
        <w:tc>
          <w:tcPr>
            <w:tcW w:type="dxa" w:w="3288"/>
          </w:tcPr>
          <w:p>
            <w:pPr>
              <w:pStyle w:val="Compact"/>
              <w:keepNext/>
              <w:spacing w:before="60" w:after="80"/>
            </w:pPr>
            <w:r>
              <w:rPr>
                <w:rFonts w:ascii="Carlito" w:hAnsi="Carlito"/>
                <w:b/>
                <w:sz w:val="19"/>
                <w:lang w:val="cs-CZ"/>
              </w:rPr>
              <w:t xml:space="preserve">Zdroj ověření</w:t>
            </w:r>
          </w:p>
        </w:tc>
      </w:tr>
      <w:tr>
        <w:trPr>
          <w:cantSplit/>
        </w:trPr>
        <w:tc>
          <w:tcPr>
            <w:tcW w:type="dxa" w:w="3288"/>
          </w:tcPr>
          <w:p>
            <w:pPr>
              <w:pStyle w:val="Compact"/>
              <w:keepNext w:val="0"/>
              <w:spacing w:before="60" w:after="80"/>
            </w:pPr>
            <w:r>
              <w:rPr>
                <w:sz w:val="19"/>
                <w:lang w:val="cs-CZ"/>
              </w:rPr>
              <w:t xml:space="preserve">[DOPLNIT]</w:t>
            </w:r>
          </w:p>
        </w:tc>
        <w:tc>
          <w:tcPr>
            <w:tcW w:type="dxa" w:w="3288"/>
          </w:tcPr>
          <w:p>
            <w:pPr>
              <w:pStyle w:val="Compact"/>
              <w:keepNext w:val="0"/>
              <w:spacing w:before="60" w:after="80"/>
            </w:pPr>
            <w:r>
              <w:rPr>
                <w:sz w:val="19"/>
                <w:lang w:val="cs-CZ"/>
              </w:rPr>
              <w:t xml:space="preserve">[DOPLNIT: automaticky / ručně, podmínky]</w:t>
            </w:r>
          </w:p>
        </w:tc>
        <w:tc>
          <w:tcPr>
            <w:tcW w:type="dxa" w:w="3288"/>
          </w:tcPr>
          <w:p>
            <w:pPr>
              <w:pStyle w:val="Compact"/>
              <w:keepNext w:val="0"/>
              <w:spacing w:before="60" w:after="80"/>
            </w:pPr>
            <w:r>
              <w:rPr>
                <w:sz w:val="19"/>
                <w:lang w:val="cs-CZ"/>
              </w:rPr>
              <w:t xml:space="preserve">[DOPLNIT]</w:t>
            </w:r>
          </w:p>
        </w:tc>
      </w:tr>
    </w:tbl>
    <w:bookmarkEnd w:id="19"/>
    <w:bookmarkStart w:id="20" w:name="X7ecf1314cc71bbfc013b349327c624efb05f3b7"/>
    <w:p>
      <w:pPr>
        <w:pStyle w:val="Heading2"/>
        <w:widowControl/>
      </w:pPr>
      <w:r>
        <w:rPr>
          <w:lang w:val="cs-CZ"/>
        </w:rPr>
        <w:t xml:space="preserve">8. Informace pro velitele zásahu</w:t>
      </w:r>
    </w:p>
    <w:p>
      <w:pPr>
        <w:pStyle w:val="FirstParagraph"/>
        <w:keepNext/>
        <w:widowControl/>
      </w:pPr>
      <w:r>
        <w:rPr>
          <w:i/>
          <w:iCs/>
          <w:lang w:val="cs-CZ"/>
        </w:rPr>
        <w:t xml:space="preserve">Rizika a jejich místa, ohrožené osoby, tlakové lahve, nebezpečné látky, šíření kouře, omezení průchodnosti, výlez na střechu, potřebná součinnost. Uzávěry a jejich polohy musí souhlasit s oddíly 3 až 7 a výkresy.</w:t>
      </w:r>
    </w:p>
    <w:p>
      <w:pPr>
        <w:pStyle w:val="BodyText"/>
        <w:widowControl/>
        <w:spacing w:after="200"/>
      </w:pPr>
      <w:r>
        <w:rPr>
          <w:lang w:val="cs-CZ"/>
        </w:rPr>
        <w:t xml:space="preserve">[DOPLNIT: doporučení v pořadí významnosti]</w:t>
      </w:r>
    </w:p>
    <w:bookmarkEnd w:id="20"/>
    <w:bookmarkStart w:id="21" w:name="Xa6867bdc530550ea3e12edcd258aaff2c90c6a5"/>
    <w:p>
      <w:pPr>
        <w:pStyle w:val="Heading2"/>
        <w:widowControl/>
      </w:pPr>
      <w:r>
        <w:rPr>
          <w:lang w:val="cs-CZ"/>
        </w:rPr>
        <w:t xml:space="preserve">9. Podklady a grafické přílohy</w:t>
      </w:r>
    </w:p>
    <w:tbl>
      <w:tblPr>
        <w:tblStyle w:val="Table"/>
        <w:tblW w:type="auto" w:w="0"/>
        <w:tblLayout w:type="fixed"/>
        <w:tblLook w:firstRow="1" w:lastRow="0" w:firstColumn="0" w:lastColumn="0" w:noHBand="0" w:noVBand="0" w:val="0020"/>
      </w:tblPr>
      <w:tblGrid>
        <w:gridCol w:w="3288"/>
        <w:gridCol w:w="3288"/>
        <w:gridCol w:w="3288"/>
      </w:tblGrid>
      <w:tr>
        <w:trPr>
          <w:tblHeader w:val="on"/>
          <w:cantSplit/>
          <w:tblHeader/>
        </w:trPr>
        <w:tc>
          <w:tcPr>
            <w:tcW w:type="dxa" w:w="3288"/>
          </w:tcPr>
          <w:p>
            <w:pPr>
              <w:pStyle w:val="Compact"/>
              <w:keepNext/>
              <w:spacing w:before="60" w:after="80"/>
            </w:pPr>
            <w:r>
              <w:rPr>
                <w:rFonts w:ascii="Carlito" w:hAnsi="Carlito"/>
                <w:b/>
                <w:sz w:val="19"/>
                <w:lang w:val="cs-CZ"/>
              </w:rPr>
              <w:t xml:space="preserve">Podklad / příloha</w:t>
            </w:r>
          </w:p>
        </w:tc>
        <w:tc>
          <w:tcPr>
            <w:tcW w:type="dxa" w:w="3288"/>
          </w:tcPr>
          <w:p>
            <w:pPr>
              <w:pStyle w:val="Compact"/>
              <w:keepNext/>
              <w:spacing w:before="60" w:after="80"/>
            </w:pPr>
            <w:r>
              <w:rPr>
                <w:rFonts w:ascii="Carlito" w:hAnsi="Carlito"/>
                <w:b/>
                <w:sz w:val="19"/>
                <w:lang w:val="cs-CZ"/>
              </w:rPr>
              <w:t xml:space="preserve">Datum, revize, autor</w:t>
            </w:r>
          </w:p>
        </w:tc>
        <w:tc>
          <w:tcPr>
            <w:tcW w:type="dxa" w:w="3288"/>
          </w:tcPr>
          <w:p>
            <w:pPr>
              <w:pStyle w:val="Compact"/>
              <w:keepNext/>
              <w:spacing w:before="60" w:after="80"/>
            </w:pPr>
            <w:r>
              <w:rPr>
                <w:rFonts w:ascii="Carlito" w:hAnsi="Carlito"/>
                <w:b/>
                <w:sz w:val="19"/>
                <w:lang w:val="cs-CZ"/>
              </w:rPr>
              <w:t xml:space="preserve">Použitá část</w:t>
            </w:r>
          </w:p>
        </w:tc>
      </w:tr>
      <w:tr>
        <w:trPr>
          <w:cantSplit/>
        </w:trPr>
        <w:tc>
          <w:tcPr>
            <w:tcW w:type="dxa" w:w="3288"/>
          </w:tcPr>
          <w:p>
            <w:pPr>
              <w:pStyle w:val="Compact"/>
              <w:keepNext w:val="0"/>
              <w:spacing w:before="60" w:after="80"/>
            </w:pPr>
            <w:r>
              <w:rPr>
                <w:sz w:val="19"/>
                <w:lang w:val="cs-CZ"/>
              </w:rPr>
              <w:t xml:space="preserve">PBŘ a změny</w:t>
            </w:r>
          </w:p>
        </w:tc>
        <w:tc>
          <w:tcPr>
            <w:tcW w:type="dxa" w:w="3288"/>
          </w:tcPr>
          <w:p>
            <w:pPr>
              <w:pStyle w:val="Compact"/>
              <w:keepNext w:val="0"/>
              <w:spacing w:before="60" w:after="80"/>
            </w:pPr>
            <w:r>
              <w:rPr>
                <w:sz w:val="19"/>
                <w:lang w:val="cs-CZ"/>
              </w:rPr>
              <w:t xml:space="preserve">[DOPLNIT]</w:t>
            </w:r>
          </w:p>
        </w:tc>
        <w:tc>
          <w:tcPr>
            <w:tcW w:type="dxa" w:w="3288"/>
          </w:tcPr>
          <w:p>
            <w:pPr>
              <w:pStyle w:val="Compact"/>
              <w:keepNext w:val="0"/>
              <w:spacing w:before="60" w:after="80"/>
            </w:pPr>
            <w:r>
              <w:rPr>
                <w:sz w:val="19"/>
                <w:lang w:val="cs-CZ"/>
              </w:rPr>
              <w:t xml:space="preserve">[DOPLNIT: strany]</w:t>
            </w:r>
          </w:p>
        </w:tc>
      </w:tr>
      <w:tr>
        <w:trPr>
          <w:cantSplit/>
        </w:trPr>
        <w:tc>
          <w:tcPr>
            <w:tcW w:type="dxa" w:w="3288"/>
          </w:tcPr>
          <w:p>
            <w:pPr>
              <w:pStyle w:val="Compact"/>
              <w:keepNext w:val="0"/>
              <w:spacing w:before="60" w:after="80"/>
            </w:pPr>
            <w:r>
              <w:rPr>
                <w:sz w:val="19"/>
                <w:lang w:val="cs-CZ"/>
              </w:rPr>
              <w:t xml:space="preserve">Situace a půdorysy</w:t>
            </w:r>
          </w:p>
        </w:tc>
        <w:tc>
          <w:tcPr>
            <w:tcW w:type="dxa" w:w="3288"/>
          </w:tcPr>
          <w:p>
            <w:pPr>
              <w:pStyle w:val="Compact"/>
              <w:keepNext w:val="0"/>
              <w:spacing w:before="60" w:after="80"/>
            </w:pPr>
            <w:r>
              <w:rPr>
                <w:sz w:val="19"/>
                <w:lang w:val="cs-CZ"/>
              </w:rPr>
              <w:t xml:space="preserve">[DOPLNIT]</w:t>
            </w:r>
          </w:p>
        </w:tc>
        <w:tc>
          <w:tcPr>
            <w:tcW w:type="dxa" w:w="3288"/>
          </w:tcPr>
          <w:p>
            <w:pPr>
              <w:pStyle w:val="Compact"/>
              <w:keepNext w:val="0"/>
              <w:spacing w:before="60" w:after="80"/>
            </w:pPr>
            <w:r>
              <w:rPr>
                <w:sz w:val="19"/>
                <w:lang w:val="cs-CZ"/>
              </w:rPr>
              <w:t xml:space="preserve">[DOPLNIT: označení]</w:t>
            </w:r>
          </w:p>
        </w:tc>
      </w:tr>
      <w:tr>
        <w:trPr>
          <w:cantSplit/>
        </w:trPr>
        <w:tc>
          <w:tcPr>
            <w:tcW w:type="dxa" w:w="3288"/>
          </w:tcPr>
          <w:p>
            <w:pPr>
              <w:pStyle w:val="Compact"/>
              <w:keepNext w:val="0"/>
              <w:spacing w:before="60" w:after="80"/>
            </w:pPr>
            <w:r>
              <w:rPr>
                <w:sz w:val="19"/>
                <w:lang w:val="cs-CZ"/>
              </w:rPr>
              <w:t xml:space="preserve">Prohlídka, provozní údaje, doklady zařízení</w:t>
            </w:r>
          </w:p>
        </w:tc>
        <w:tc>
          <w:tcPr>
            <w:tcW w:type="dxa" w:w="3288"/>
          </w:tcPr>
          <w:p>
            <w:pPr>
              <w:pStyle w:val="Compact"/>
              <w:keepNext w:val="0"/>
              <w:spacing w:before="60" w:after="80"/>
            </w:pPr>
            <w:r>
              <w:rPr>
                <w:sz w:val="19"/>
                <w:lang w:val="cs-CZ"/>
              </w:rPr>
              <w:t xml:space="preserve">[DOPLNIT: kdo, kdy]</w:t>
            </w:r>
          </w:p>
        </w:tc>
        <w:tc>
          <w:tcPr>
            <w:tcW w:type="dxa" w:w="3288"/>
          </w:tcPr>
          <w:p>
            <w:pPr>
              <w:pStyle w:val="Compact"/>
              <w:keepNext w:val="0"/>
              <w:spacing w:before="60" w:after="80"/>
            </w:pPr>
            <w:r>
              <w:rPr>
                <w:sz w:val="19"/>
                <w:lang w:val="cs-CZ"/>
              </w:rPr>
              <w:t xml:space="preserve">[DOPLNIT]</w:t>
            </w:r>
          </w:p>
        </w:tc>
      </w:tr>
    </w:tbl>
    <w:p>
      <w:pPr>
        <w:pStyle w:val="BodyText"/>
        <w:keepNext w:val="0"/>
        <w:widowControl/>
      </w:pPr>
      <w:r>
        <w:rPr>
          <w:i/>
          <w:iCs/>
          <w:lang w:val="cs-CZ"/>
        </w:rPr>
        <w:t xml:space="preserve">Připojte grafickou část. Ověřte čitelnost v požadovaném tiskovém formátu, legendu, měřítko, příjezdy, vodu a shodu značek s textem.</w:t>
      </w:r>
    </w:p>
    <w:bookmarkEnd w:id="21"/>
    <w:bookmarkStart w:id="22" w:name="X6060545aa7a784daaa5af3c297338192c2891a5"/>
    <w:p>
      <w:pPr>
        <w:pStyle w:val="Heading2"/>
        <w:widowControl/>
      </w:pPr>
      <w:r>
        <w:rPr>
          <w:lang w:val="cs-CZ"/>
        </w:rPr>
        <w:t xml:space="preserve">10. Zpracování, schválení a uložení</w:t>
      </w:r>
    </w:p>
    <w:tbl>
      <w:tblPr>
        <w:tblStyle w:val="Table"/>
        <w:tblW w:type="auto" w:w="0"/>
        <w:tblLayout w:type="fixed"/>
        <w:tblLook w:firstRow="1" w:lastRow="0" w:firstColumn="0" w:lastColumn="0" w:noHBand="0" w:noVBand="0" w:val="0020"/>
      </w:tblPr>
      <w:tblGrid>
        <w:gridCol w:w="4932"/>
        <w:gridCol w:w="4932"/>
      </w:tblGrid>
      <w:tr>
        <w:trPr>
          <w:tblHeader w:val="on"/>
          <w:cantSplit/>
          <w:tblHeader/>
        </w:trPr>
        <w:tc>
          <w:tcPr>
            <w:tcW w:type="dxa" w:w="4932"/>
          </w:tcPr>
          <w:p>
            <w:pPr>
              <w:pStyle w:val="Compact"/>
              <w:keepNext/>
              <w:spacing w:before="60" w:after="80"/>
            </w:pPr>
            <w:r>
              <w:rPr>
                <w:rFonts w:ascii="Carlito" w:hAnsi="Carlito"/>
                <w:b/>
                <w:sz w:val="19"/>
                <w:lang w:val="cs-CZ"/>
              </w:rPr>
              <w:t xml:space="preserve">Údaj</w:t>
            </w:r>
          </w:p>
        </w:tc>
        <w:tc>
          <w:tcPr>
            <w:tcW w:type="dxa" w:w="4932"/>
          </w:tcPr>
          <w:p>
            <w:pPr>
              <w:pStyle w:val="Compact"/>
              <w:keepNext/>
              <w:spacing w:before="60" w:after="80"/>
            </w:pPr>
            <w:r>
              <w:rPr>
                <w:rFonts w:ascii="Carlito" w:hAnsi="Carlito"/>
                <w:b/>
                <w:sz w:val="19"/>
                <w:lang w:val="cs-CZ"/>
              </w:rPr>
              <w:t xml:space="preserve">Vyplňte</w:t>
            </w:r>
          </w:p>
        </w:tc>
      </w:tr>
      <w:tr>
        <w:trPr>
          <w:cantSplit/>
        </w:trPr>
        <w:tc>
          <w:tcPr>
            <w:tcW w:type="dxa" w:w="4932"/>
          </w:tcPr>
          <w:p>
            <w:pPr>
              <w:pStyle w:val="Compact"/>
              <w:keepNext w:val="0"/>
              <w:spacing w:before="60" w:after="80"/>
            </w:pPr>
            <w:r>
              <w:rPr>
                <w:sz w:val="19"/>
                <w:lang w:val="cs-CZ"/>
              </w:rPr>
              <w:t xml:space="preserve">Zpracoval</w:t>
            </w:r>
          </w:p>
        </w:tc>
        <w:tc>
          <w:tcPr>
            <w:tcW w:type="dxa" w:w="4932"/>
          </w:tcPr>
          <w:p>
            <w:pPr>
              <w:pStyle w:val="Compact"/>
              <w:keepNext w:val="0"/>
              <w:spacing w:before="60" w:after="80"/>
            </w:pPr>
            <w:r>
              <w:rPr>
                <w:sz w:val="19"/>
                <w:lang w:val="cs-CZ"/>
              </w:rPr>
              <w:t xml:space="preserve">[DOPLNIT: jméno, OZO / technik PO, číslo osvědčení]</w:t>
            </w:r>
          </w:p>
        </w:tc>
      </w:tr>
      <w:tr>
        <w:trPr>
          <w:cantSplit/>
        </w:trPr>
        <w:tc>
          <w:tcPr>
            <w:tcW w:type="dxa" w:w="4932"/>
          </w:tcPr>
          <w:p>
            <w:pPr>
              <w:pStyle w:val="Compact"/>
              <w:keepNext w:val="0"/>
              <w:spacing w:before="60" w:after="80"/>
            </w:pPr>
            <w:r>
              <w:rPr>
                <w:sz w:val="19"/>
                <w:lang w:val="cs-CZ"/>
              </w:rPr>
              <w:t xml:space="preserve">Datum a podpis zpracovatele</w:t>
            </w:r>
          </w:p>
        </w:tc>
        <w:tc>
          <w:tcPr>
            <w:tcW w:type="dxa" w:w="4932"/>
          </w:tcPr>
          <w:p>
            <w:pPr>
              <w:pStyle w:val="Compact"/>
              <w:keepNext w:val="0"/>
              <w:spacing w:before="60" w:after="80"/>
            </w:pPr>
            <w:r>
              <w:rPr>
                <w:sz w:val="19"/>
                <w:lang w:val="cs-CZ"/>
              </w:rPr>
              <w:t xml:space="preserve">[DOPLNIT]</w:t>
            </w:r>
          </w:p>
        </w:tc>
      </w:tr>
      <w:tr>
        <w:trPr>
          <w:cantSplit/>
        </w:trPr>
        <w:tc>
          <w:tcPr>
            <w:tcW w:type="dxa" w:w="4932"/>
          </w:tcPr>
          <w:p>
            <w:pPr>
              <w:pStyle w:val="Compact"/>
              <w:keepNext w:val="0"/>
              <w:spacing w:before="60" w:after="80"/>
            </w:pPr>
            <w:r>
              <w:rPr>
                <w:sz w:val="19"/>
                <w:lang w:val="cs-CZ"/>
              </w:rPr>
              <w:t xml:space="preserve">Schválil za provozovatele</w:t>
            </w:r>
          </w:p>
        </w:tc>
        <w:tc>
          <w:tcPr>
            <w:tcW w:type="dxa" w:w="4932"/>
          </w:tcPr>
          <w:p>
            <w:pPr>
              <w:pStyle w:val="Compact"/>
              <w:keepNext w:val="0"/>
              <w:spacing w:before="60" w:after="80"/>
            </w:pPr>
            <w:r>
              <w:rPr>
                <w:sz w:val="19"/>
                <w:lang w:val="cs-CZ"/>
              </w:rPr>
              <w:t xml:space="preserve">[DOPLNIT: oprávněná osoba, funkce, datum a podpis]</w:t>
            </w:r>
          </w:p>
        </w:tc>
      </w:tr>
      <w:tr>
        <w:trPr>
          <w:cantSplit/>
        </w:trPr>
        <w:tc>
          <w:tcPr>
            <w:tcW w:type="dxa" w:w="4932"/>
          </w:tcPr>
          <w:p>
            <w:pPr>
              <w:pStyle w:val="Compact"/>
              <w:keepNext w:val="0"/>
              <w:spacing w:before="60" w:after="80"/>
            </w:pPr>
            <w:r>
              <w:rPr>
                <w:sz w:val="19"/>
                <w:lang w:val="cs-CZ"/>
              </w:rPr>
              <w:t xml:space="preserve">Místo a rozsah účinnosti</w:t>
            </w:r>
          </w:p>
        </w:tc>
        <w:tc>
          <w:tcPr>
            <w:tcW w:type="dxa" w:w="4932"/>
          </w:tcPr>
          <w:p>
            <w:pPr>
              <w:pStyle w:val="Compact"/>
              <w:keepNext w:val="0"/>
              <w:spacing w:before="60" w:after="80"/>
            </w:pPr>
            <w:r>
              <w:rPr>
                <w:sz w:val="19"/>
                <w:lang w:val="cs-CZ"/>
              </w:rPr>
              <w:t xml:space="preserve">[DOPLNIT]</w:t>
            </w:r>
          </w:p>
        </w:tc>
      </w:tr>
      <w:tr>
        <w:trPr>
          <w:cantSplit/>
        </w:trPr>
        <w:tc>
          <w:tcPr>
            <w:tcW w:type="dxa" w:w="4932"/>
          </w:tcPr>
          <w:p>
            <w:pPr>
              <w:pStyle w:val="Compact"/>
              <w:keepNext w:val="0"/>
              <w:spacing w:before="60" w:after="80"/>
            </w:pPr>
            <w:r>
              <w:rPr>
                <w:sz w:val="19"/>
                <w:lang w:val="cs-CZ"/>
              </w:rPr>
              <w:t xml:space="preserve">Rozhodnutí orgánu státního požárního dozoru</w:t>
            </w:r>
          </w:p>
        </w:tc>
        <w:tc>
          <w:tcPr>
            <w:tcW w:type="dxa" w:w="4932"/>
          </w:tcPr>
          <w:p>
            <w:pPr>
              <w:pStyle w:val="Compact"/>
              <w:keepNext w:val="0"/>
              <w:spacing w:before="60" w:after="80"/>
            </w:pPr>
            <w:r>
              <w:rPr>
                <w:sz w:val="19"/>
                <w:lang w:val="cs-CZ"/>
              </w:rPr>
              <w:t xml:space="preserve">[DOPLNIT až po vydání: orgán, č. j., datum]</w:t>
            </w:r>
          </w:p>
        </w:tc>
      </w:tr>
      <w:tr>
        <w:trPr>
          <w:cantSplit/>
        </w:trPr>
        <w:tc>
          <w:tcPr>
            <w:tcW w:type="dxa" w:w="4932"/>
          </w:tcPr>
          <w:p>
            <w:pPr>
              <w:pStyle w:val="Compact"/>
              <w:keepNext w:val="0"/>
              <w:spacing w:before="60" w:after="80"/>
            </w:pPr>
            <w:r>
              <w:rPr>
                <w:sz w:val="19"/>
                <w:lang w:val="cs-CZ"/>
              </w:rPr>
              <w:t xml:space="preserve">Uložení a aktualizace</w:t>
            </w:r>
          </w:p>
        </w:tc>
        <w:tc>
          <w:tcPr>
            <w:tcW w:type="dxa" w:w="4932"/>
          </w:tcPr>
          <w:p>
            <w:pPr>
              <w:pStyle w:val="Compact"/>
              <w:keepNext w:val="0"/>
              <w:spacing w:before="60" w:after="80"/>
            </w:pPr>
            <w:r>
              <w:rPr>
                <w:sz w:val="19"/>
                <w:lang w:val="cs-CZ"/>
              </w:rPr>
              <w:t xml:space="preserve">[DOPLNIT: kde je karta dostupná, kdo sleduje změny]</w:t>
            </w:r>
          </w:p>
        </w:tc>
      </w:tr>
    </w:tbl>
    <w:p>
      <w:pPr>
        <w:pStyle w:val="BodyText"/>
        <w:keepNext w:val="0"/>
        <w:widowControl/>
      </w:pPr>
      <w:r>
        <w:rPr>
          <w:i/>
          <w:iCs/>
          <w:lang w:val="cs-CZ"/>
        </w:rPr>
        <w:t xml:space="preserve">Schvalující osobu za provozovatele určete podle § 40 odst. 3 vyhlášky. Uložení podle § 34 odst. 5 a § 40; změny ovlivňující schválenou DZP řešte podle § 6b zákona.</w:t>
      </w:r>
    </w:p>
    <w:bookmarkEnd w:id="22"/>
    <w:bookmarkStart w:id="28" w:name="opora-šablony"/>
    <w:p>
      <w:pPr>
        <w:pStyle w:val="Heading2"/>
        <w:widowControl/>
      </w:pPr>
      <w:r>
        <w:rPr>
          <w:lang w:val="cs-CZ"/>
        </w:rPr>
        <w:t xml:space="preserve">Opora šablony</w:t>
      </w:r>
    </w:p>
    <w:p>
      <w:pPr>
        <w:pStyle w:val="FirstParagraph"/>
        <w:widowControl/>
      </w:pPr>
      <w:hyperlink r:id="rId23">
        <w:r>
          <w:rPr>
            <w:rStyle w:val="Hyperlink"/>
            <w:lang w:val="cs-CZ"/>
          </w:rPr>
          <w:t xml:space="preserve">Zákon č. 133/1985 Sb.</w:t>
        </w:r>
      </w:hyperlink>
      <w:r>
        <w:rPr>
          <w:lang w:val="cs-CZ"/>
        </w:rPr>
        <w:t xml:space="preserve">, zejména § 6b a § 11;</w:t>
      </w:r>
      <w:r>
        <w:rPr>
          <w:lang w:val="cs-CZ"/>
        </w:rPr>
        <w:t xml:space="preserve"> </w:t>
      </w:r>
      <w:hyperlink r:id="rId24">
        <w:r>
          <w:rPr>
            <w:rStyle w:val="Hyperlink"/>
            <w:lang w:val="cs-CZ"/>
          </w:rPr>
          <w:t xml:space="preserve">vyhláška č. 246/2001 Sb.</w:t>
        </w:r>
      </w:hyperlink>
      <w:r>
        <w:rPr>
          <w:lang w:val="cs-CZ"/>
        </w:rPr>
        <w:t xml:space="preserve">, zejména § 2, § 34 a § 40. Právní stav ověřen 7. 9. 2026. Formu podání a krajský vzor ověřte u</w:t>
      </w:r>
      <w:r>
        <w:rPr>
          <w:lang w:val="cs-CZ"/>
        </w:rPr>
        <w:t xml:space="preserve"> </w:t>
      </w:r>
      <w:hyperlink r:id="rId25">
        <w:r>
          <w:rPr>
            <w:rStyle w:val="Hyperlink"/>
            <w:lang w:val="cs-CZ"/>
          </w:rPr>
          <w:t xml:space="preserve">HZS ČR</w:t>
        </w:r>
      </w:hyperlink>
      <w:r>
        <w:rPr>
          <w:lang w:val="cs-CZ"/>
        </w:rPr>
        <w:t xml:space="preserve">.</w:t>
      </w:r>
    </w:p>
    <w:p>
      <w:pPr>
        <w:keepNext w:val="0"/>
        <w:widowControl/>
      </w:pPr>
      <w:r>
        <w:pict>
          <v:rect style="width:0;height:1.5pt" o:hralign="center" o:hrstd="t" o:hr="t"/>
        </w:pict>
      </w:r>
    </w:p>
    <w:p>
      <w:pPr>
        <w:pStyle w:val="FirstParagraph"/>
        <w:widowControl/>
      </w:pPr>
      <w:r>
        <w:rPr>
          <w:b/>
          <w:bCs/>
          <w:lang w:val="cs-CZ"/>
        </w:rPr>
        <w:t xml:space="preserve">Pomoc se zpracováním:</w:t>
      </w:r>
      <w:r>
        <w:rPr>
          <w:lang w:val="cs-CZ"/>
        </w:rPr>
        <w:t xml:space="preserve"> </w:t>
      </w:r>
      <w:r>
        <w:rPr>
          <w:lang w:val="cs-CZ"/>
        </w:rPr>
        <w:t xml:space="preserve">Z vašich podkladů připravíme koncept operativní karty s odkazy na zdroje, zpravidla do 24 hodin od odeslání kompletních podkladů. Od 800 Kč.</w:t>
      </w:r>
      <w:r>
        <w:rPr>
          <w:lang w:val="cs-CZ"/>
        </w:rPr>
        <w:t xml:space="preserve"> </w:t>
      </w:r>
      <w:hyperlink r:id="rId26">
        <w:r>
          <w:rPr>
            <w:rStyle w:val="Hyperlink"/>
            <w:lang w:val="cs-CZ"/>
          </w:rPr>
          <w:t xml:space="preserve">Požární apka</w:t>
        </w:r>
      </w:hyperlink>
      <w:r>
        <w:rPr>
          <w:lang w:val="cs-CZ"/>
        </w:rPr>
        <w:t xml:space="preserve"> </w:t>
      </w:r>
      <w:r>
        <w:rPr>
          <w:lang w:val="cs-CZ"/>
        </w:rPr>
        <w:t xml:space="preserve">·</w:t>
      </w:r>
      <w:r>
        <w:rPr>
          <w:lang w:val="cs-CZ"/>
        </w:rPr>
        <w:t xml:space="preserve"> </w:t>
      </w:r>
      <w:hyperlink r:id="rId27">
        <w:r>
          <w:rPr>
            <w:rStyle w:val="Hyperlink"/>
            <w:lang w:val="cs-CZ"/>
          </w:rPr>
          <w:t xml:space="preserve">info@pozarniapka.cz</w:t>
        </w:r>
      </w:hyperlink>
    </w:p>
    <w:bookmarkEnd w:id="28"/>
    <w:bookmarkEnd w:id="29"/>
    <w:sectPr>
      <w:footerReference w:type="default" r:id="rId9"/>
      <w:footnotePr>
        <w:numRestart w:val="eachSect"/>
      </w:footnotePr>
      <w:pgSz w:w="11906" w:h="16838"/>
      <w:pgMar w:top="1134" w:bottom="907" w:left="1020" w:right="1020" w:footer="4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rlito" w:hAnsi="Carlito"/>
        <w:sz w:val="16"/>
      </w:rPr>
      <w:t xml:space="preserve">Požární apka · </w:t>
    </w:r>
    <w:fldSimple w:instr="PAGE"/>
    <w:r>
      <w:rPr>
        <w:rFonts w:ascii="Carlito" w:hAnsi="Carlito"/>
        <w:sz w:val="16"/>
      </w:rPr>
      <w:t xml:space="preserve"> / </w:t>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cs-CZ"/>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before="0" w:after="140" w:line="283" w:lineRule="auto"/>
    </w:pPr>
    <w:rPr>
      <w:rFonts w:ascii="Caladea" w:hAnsi="Caladea"/>
      <w:color w:val="1A1A1A"/>
      <w:sz w:val="21"/>
    </w:rPr>
  </w:style>
  <w:style w:styleId="BodyText" w:type="paragraph">
    <w:name w:val="Body Text"/>
    <w:basedOn w:val="Normal"/>
    <w:link w:val="BodyTextChar"/>
    <w:qFormat/>
    <w:pPr>
      <w:widowControl/>
      <w:spacing w:after="140" w:before="0" w:line="283" w:lineRule="auto"/>
    </w:pPr>
    <w:rPr>
      <w:rFonts w:ascii="Caladea" w:hAnsi="Caladea"/>
      <w:color w:val="1A1A1A"/>
      <w:sz w:val="21"/>
    </w:rPr>
  </w:style>
  <w:style w:customStyle="1" w:styleId="FirstParagraph" w:type="paragraph">
    <w:name w:val="First Paragraph"/>
    <w:basedOn w:val="BodyText"/>
    <w:next w:val="BodyText"/>
    <w:qFormat/>
    <w:pPr>
      <w:widowControl/>
      <w:spacing w:before="0" w:after="140" w:line="283" w:lineRule="auto"/>
    </w:pPr>
    <w:rPr>
      <w:rFonts w:ascii="Caladea" w:hAnsi="Caladea"/>
      <w:color w:val="1A1A1A"/>
      <w:sz w:val="21"/>
    </w:rPr>
  </w:style>
  <w:style w:customStyle="1" w:styleId="Compact" w:type="paragraph">
    <w:name w:val="Compact"/>
    <w:basedOn w:val="BodyText"/>
    <w:qFormat/>
    <w:pPr>
      <w:spacing w:after="36" w:before="36"/>
    </w:pPr>
    <w:rPr>
      <w:rFonts w:ascii="Caladea" w:hAnsi="Caladea"/>
      <w:color w:val="1A1A1A"/>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adea" w:hAnsi="Caladea"/>
      <w:color w:val="1A1A1A"/>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ascii="Caladea" w:hAnsi="Caladea"/>
      <w:color w:val="1A1A1A"/>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ascii="Caladea" w:hAnsi="Caladea"/>
      <w:color w:val="1A1A1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ascii="Caladea" w:hAnsi="Caladea"/>
      <w:color w:val="1A1A1A"/>
      <w:spacing w:val="15"/>
      <w:sz w:val="28"/>
      <w:szCs w:val="28"/>
    </w:rPr>
  </w:style>
  <w:style w:customStyle="1" w:styleId="Author" w:type="paragraph">
    <w:name w:val="Author"/>
    <w:basedOn w:val="Title"/>
    <w:next w:val="BodyText"/>
    <w:qFormat/>
    <w:pPr>
      <w:keepNext/>
      <w:keepLines/>
    </w:pPr>
    <w:rPr>
      <w:rFonts w:ascii="Caladea" w:hAnsi="Caladea"/>
      <w:color w:val="1A1A1A"/>
      <w:sz w:val="24"/>
      <w:szCs w:val="24"/>
    </w:rPr>
  </w:style>
  <w:style w:styleId="Date" w:type="paragraph">
    <w:name w:val="Date"/>
    <w:basedOn w:val="Title"/>
    <w:next w:val="BodyText"/>
    <w:qFormat/>
    <w:pPr>
      <w:keepNext/>
      <w:keepLines/>
    </w:pPr>
    <w:rPr>
      <w:rFonts w:ascii="Caladea" w:hAnsi="Caladea"/>
      <w:color w:val="1A1A1A"/>
      <w:sz w:val="24"/>
      <w:szCs w:val="24"/>
    </w:rPr>
  </w:style>
  <w:style w:customStyle="1" w:styleId="AbstractTitle" w:type="paragraph">
    <w:name w:val="Abstract Title"/>
    <w:basedOn w:val="Normal"/>
    <w:next w:val="Abstract"/>
    <w:qFormat/>
    <w:pPr>
      <w:keepNext/>
      <w:keepLines/>
      <w:spacing w:after="0" w:before="300"/>
      <w:jc w:val="center"/>
    </w:pPr>
    <w:rPr>
      <w:rFonts w:ascii="Caladea" w:hAnsi="Caladea"/>
      <w:b/>
      <w:color w:val="1A1A1A"/>
      <w:sz w:val="20"/>
      <w:szCs w:val="20"/>
    </w:rPr>
  </w:style>
  <w:style w:customStyle="1" w:styleId="Abstract" w:type="paragraph">
    <w:name w:val="Abstract"/>
    <w:basedOn w:val="Normal"/>
    <w:next w:val="BodyText"/>
    <w:qFormat/>
    <w:pPr>
      <w:keepNext/>
      <w:keepLines/>
      <w:spacing w:after="300" w:before="100"/>
    </w:pPr>
    <w:rPr>
      <w:rFonts w:ascii="Caladea" w:hAnsi="Caladea"/>
      <w:color w:val="1A1A1A"/>
      <w:sz w:val="20"/>
      <w:szCs w:val="20"/>
    </w:rPr>
  </w:style>
  <w:style w:styleId="Bibliography" w:type="paragraph">
    <w:name w:val="Bibliography"/>
    <w:basedOn w:val="Normal"/>
    <w:next w:val="Bibliography"/>
    <w:qFormat/>
    <w:pPr/>
    <w:rPr>
      <w:rFonts w:ascii="Caladea" w:hAnsi="Caladea"/>
      <w:color w:val="1A1A1A"/>
    </w:rPr>
  </w:style>
  <w:style w:styleId="Heading1" w:type="paragraph">
    <w:name w:val="heading 1"/>
    <w:basedOn w:val="Normal"/>
    <w:next w:val="BodyText"/>
    <w:link w:val="Heading1Char"/>
    <w:uiPriority w:val="9"/>
    <w:qFormat/>
    <w:rsid w:val="00A10FD9"/>
    <w:pPr>
      <w:keepNext/>
      <w:keepLines/>
      <w:spacing w:after="100" w:before="0"/>
      <w:outlineLvl w:val="0"/>
    </w:pPr>
    <w:rPr>
      <w:rFonts w:asciiTheme="majorHAnsi" w:cstheme="majorBidi" w:eastAsiaTheme="majorEastAsia" w:hAnsiTheme="majorHAnsi" w:ascii="Caladea" w:hAnsi="Caladea"/>
      <w:b/>
      <w:color w:val="1A1A1A"/>
      <w:sz w:val="42"/>
      <w:szCs w:val="40"/>
    </w:rPr>
  </w:style>
  <w:style w:styleId="Heading2" w:type="paragraph">
    <w:name w:val="heading 2"/>
    <w:basedOn w:val="Normal"/>
    <w:next w:val="BodyText"/>
    <w:link w:val="Heading2Char"/>
    <w:uiPriority w:val="9"/>
    <w:semiHidden/>
    <w:unhideWhenUsed/>
    <w:qFormat/>
    <w:rsid w:val="00A10FD9"/>
    <w:pPr>
      <w:keepNext/>
      <w:keepLines/>
      <w:spacing w:after="100" w:before="240"/>
      <w:outlineLvl w:val="1"/>
    </w:pPr>
    <w:rPr>
      <w:rFonts w:asciiTheme="majorHAnsi" w:cstheme="majorBidi" w:eastAsiaTheme="majorEastAsia" w:hAnsiTheme="majorHAnsi" w:ascii="Carlito" w:hAnsi="Carlito"/>
      <w:b/>
      <w:color w:val="1A1A1A"/>
      <w:sz w:val="22"/>
      <w:szCs w:val="32"/>
    </w:rPr>
  </w:style>
  <w:style w:styleId="Heading3" w:type="paragraph">
    <w:name w:val="heading 3"/>
    <w:basedOn w:val="Normal"/>
    <w:next w:val="BodyText"/>
    <w:link w:val="Heading3Char"/>
    <w:uiPriority w:val="9"/>
    <w:semiHidden/>
    <w:unhideWhenUsed/>
    <w:qFormat/>
    <w:rsid w:val="00A10FD9"/>
    <w:pPr>
      <w:keepNext/>
      <w:keepLines/>
      <w:spacing w:after="100" w:before="240"/>
      <w:outlineLvl w:val="2"/>
    </w:pPr>
    <w:rPr>
      <w:rFonts w:cstheme="majorBidi" w:eastAsiaTheme="majorEastAsia" w:ascii="Carlito" w:hAnsi="Carlito"/>
      <w:b/>
      <w:color w:val="1A1A1A"/>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ascii="Caladea" w:hAnsi="Caladea"/>
      <w:i/>
      <w:iCs/>
      <w:color w:val="1A1A1A"/>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ascii="Caladea" w:hAnsi="Caladea"/>
      <w:color w:val="1A1A1A"/>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ascii="Caladea" w:hAnsi="Caladea"/>
      <w:i/>
      <w:iCs/>
      <w:color w:val="1A1A1A"/>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ascii="Caladea" w:hAnsi="Caladea"/>
      <w:color w:val="1A1A1A"/>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ascii="Caladea" w:hAnsi="Caladea"/>
      <w:i/>
      <w:iCs/>
      <w:color w:val="1A1A1A"/>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ascii="Caladea" w:hAnsi="Caladea"/>
      <w:color w:val="1A1A1A"/>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ascii="Caladea" w:hAnsi="Caladea"/>
      <w:color w:val="1A1A1A"/>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ascii="Caladea" w:hAnsi="Caladea"/>
      <w:color w:val="1A1A1A"/>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ascii="Caladea" w:hAnsi="Caladea"/>
      <w:color w:val="1A1A1A"/>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ascii="Caladea" w:hAnsi="Caladea"/>
      <w:i/>
      <w:iCs/>
      <w:color w:val="1A1A1A"/>
    </w:rPr>
  </w:style>
  <w:style w:customStyle="1" w:styleId="Heading5Char" w:type="character">
    <w:name w:val="Heading 5 Char"/>
    <w:basedOn w:val="DefaultParagraphFont"/>
    <w:link w:val="Heading5"/>
    <w:uiPriority w:val="9"/>
    <w:semiHidden/>
    <w:rsid w:val="00A10FD9"/>
    <w:rPr>
      <w:rFonts w:cstheme="majorBidi" w:eastAsiaTheme="majorEastAsia" w:ascii="Caladea" w:hAnsi="Caladea"/>
      <w:color w:val="1A1A1A"/>
    </w:rPr>
  </w:style>
  <w:style w:customStyle="1" w:styleId="Heading6Char" w:type="character">
    <w:name w:val="Heading 6 Char"/>
    <w:basedOn w:val="DefaultParagraphFont"/>
    <w:link w:val="Heading6"/>
    <w:uiPriority w:val="9"/>
    <w:semiHidden/>
    <w:rsid w:val="00A10FD9"/>
    <w:rPr>
      <w:rFonts w:cstheme="majorBidi" w:eastAsiaTheme="majorEastAsia" w:ascii="Caladea" w:hAnsi="Caladea"/>
      <w:i/>
      <w:iCs/>
      <w:color w:val="1A1A1A"/>
    </w:rPr>
  </w:style>
  <w:style w:customStyle="1" w:styleId="Heading7Char" w:type="character">
    <w:name w:val="Heading 7 Char"/>
    <w:basedOn w:val="DefaultParagraphFont"/>
    <w:link w:val="Heading7"/>
    <w:uiPriority w:val="9"/>
    <w:semiHidden/>
    <w:rsid w:val="00A10FD9"/>
    <w:rPr>
      <w:rFonts w:cstheme="majorBidi" w:eastAsiaTheme="majorEastAsia" w:ascii="Caladea" w:hAnsi="Caladea"/>
      <w:color w:val="1A1A1A"/>
    </w:rPr>
  </w:style>
  <w:style w:customStyle="1" w:styleId="Heading8Char" w:type="character">
    <w:name w:val="Heading 8 Char"/>
    <w:basedOn w:val="DefaultParagraphFont"/>
    <w:link w:val="Heading8"/>
    <w:uiPriority w:val="9"/>
    <w:semiHidden/>
    <w:rsid w:val="00A10FD9"/>
    <w:rPr>
      <w:rFonts w:cstheme="majorBidi" w:eastAsiaTheme="majorEastAsia" w:ascii="Caladea" w:hAnsi="Caladea"/>
      <w:i/>
      <w:iCs/>
      <w:color w:val="1A1A1A"/>
    </w:rPr>
  </w:style>
  <w:style w:customStyle="1" w:styleId="Heading9Char" w:type="character">
    <w:name w:val="Heading 9 Char"/>
    <w:basedOn w:val="DefaultParagraphFont"/>
    <w:link w:val="Heading9"/>
    <w:uiPriority w:val="9"/>
    <w:semiHidden/>
    <w:rsid w:val="00A10FD9"/>
    <w:rPr>
      <w:rFonts w:cstheme="majorBidi" w:eastAsiaTheme="majorEastAsia" w:ascii="Caladea" w:hAnsi="Caladea"/>
      <w:color w:val="1A1A1A"/>
    </w:rPr>
  </w:style>
  <w:style w:styleId="BlockText" w:type="paragraph">
    <w:name w:val="Block Text"/>
    <w:basedOn w:val="BodyText"/>
    <w:next w:val="BodyText"/>
    <w:uiPriority w:val="9"/>
    <w:unhideWhenUsed/>
    <w:qFormat/>
    <w:pPr>
      <w:widowControl/>
      <w:spacing w:after="140" w:before="0" w:line="283" w:lineRule="auto"/>
      <w:ind w:firstLine="0" w:left="480" w:right="480"/>
    </w:pPr>
    <w:rPr>
      <w:rFonts w:ascii="Caladea" w:hAnsi="Caladea"/>
      <w:color w:val="1A1A1A"/>
      <w:sz w:val="21"/>
    </w:rPr>
  </w:style>
  <w:style w:styleId="FootnoteText" w:type="paragraph">
    <w:name w:val="Footnote Text"/>
    <w:basedOn w:val="Normal"/>
    <w:next w:val="FootnoteText"/>
    <w:uiPriority w:val="9"/>
    <w:unhideWhenUsed/>
    <w:qFormat/>
    <w:rPr>
      <w:rFonts w:ascii="Caladea" w:hAnsi="Caladea"/>
      <w:color w:val="1A1A1A"/>
    </w:rPr>
  </w:style>
  <w:style w:styleId="FootnoteBlockText" w:type="paragraph">
    <w:name w:val="Footnote Block Text"/>
    <w:basedOn w:val="FootnoteText"/>
    <w:next w:val="FootnoteText"/>
    <w:uiPriority w:val="9"/>
    <w:unhideWhenUsed/>
    <w:qFormat/>
    <w:pPr>
      <w:spacing w:after="100" w:before="100"/>
      <w:ind w:firstLine="0" w:left="480" w:right="480"/>
    </w:pPr>
    <w:rPr>
      <w:rFonts w:ascii="Caladea" w:hAnsi="Caladea"/>
      <w:color w:val="1A1A1A"/>
    </w:rPr>
  </w:style>
  <w:style w:default="1" w:styleId="DefaultParagraphFont" w:type="character">
    <w:name w:val="Default Paragraph Font"/>
    <w:semiHidden/>
    <w:unhideWhenUsed/>
    <w:rPr>
      <w:rFonts w:ascii="Caladea" w:hAnsi="Caladea"/>
      <w:color w:val="1A1A1A"/>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ladea" w:hAnsi="Caladea"/>
      <w:b/>
      <w:color w:val="1A1A1A"/>
    </w:rPr>
  </w:style>
  <w:style w:customStyle="1" w:styleId="Definition" w:type="paragraph">
    <w:name w:val="Definition"/>
    <w:basedOn w:val="Normal"/>
    <w:rPr>
      <w:rFonts w:ascii="Caladea" w:hAnsi="Caladea"/>
      <w:color w:val="1A1A1A"/>
    </w:rPr>
  </w:style>
  <w:style w:styleId="Caption" w:type="paragraph">
    <w:name w:val="Caption"/>
    <w:basedOn w:val="Normal"/>
    <w:link w:val="BodyTextChar"/>
    <w:pPr>
      <w:spacing w:after="120" w:before="0"/>
    </w:pPr>
    <w:rPr>
      <w:rFonts w:ascii="Caladea" w:hAnsi="Caladea"/>
      <w:i/>
      <w:color w:val="1A1A1A"/>
    </w:rPr>
  </w:style>
  <w:style w:customStyle="1" w:styleId="TableCaption" w:type="paragraph">
    <w:name w:val="Table Caption"/>
    <w:basedOn w:val="Caption"/>
    <w:pPr>
      <w:keepNext/>
    </w:pPr>
    <w:rPr>
      <w:rFonts w:ascii="Caladea" w:hAnsi="Caladea"/>
      <w:color w:val="1A1A1A"/>
    </w:rPr>
  </w:style>
  <w:style w:customStyle="1" w:styleId="ImageCaption" w:type="paragraph">
    <w:name w:val="Image Caption"/>
    <w:basedOn w:val="Caption"/>
    <w:rPr>
      <w:rFonts w:ascii="Caladea" w:hAnsi="Caladea"/>
      <w:color w:val="1A1A1A"/>
    </w:rPr>
  </w:style>
  <w:style w:customStyle="1" w:styleId="Figure" w:type="paragraph">
    <w:name w:val="Figure"/>
    <w:basedOn w:val="Normal"/>
    <w:rPr>
      <w:rFonts w:ascii="Caladea" w:hAnsi="Caladea"/>
      <w:color w:val="1A1A1A"/>
    </w:rPr>
  </w:style>
  <w:style w:customStyle="1" w:styleId="CaptionedFigure" w:type="paragraph">
    <w:name w:val="Captioned Figure"/>
    <w:basedOn w:val="Figure"/>
    <w:pPr>
      <w:keepNext/>
    </w:pPr>
    <w:rPr>
      <w:rFonts w:ascii="Caladea" w:hAnsi="Caladea"/>
      <w:color w:val="1A1A1A"/>
    </w:rPr>
  </w:style>
  <w:style w:customStyle="1" w:styleId="BodyTextChar" w:type="character">
    <w:name w:val="Body Text Char"/>
    <w:basedOn w:val="DefaultParagraphFont"/>
    <w:link w:val="BodyText"/>
    <w:rPr>
      <w:rFonts w:ascii="Caladea" w:hAnsi="Caladea"/>
      <w:color w:val="1A1A1A"/>
    </w:rPr>
  </w:style>
  <w:style w:customStyle="1" w:styleId="VerbatimChar" w:type="character">
    <w:name w:val="Verbatim Char"/>
    <w:basedOn w:val="BodyTextChar"/>
    <w:rPr>
      <w:rFonts w:ascii="Caladea" w:hAnsi="Caladea"/>
      <w:color w:val="1A1A1A"/>
      <w:sz w:val="22"/>
    </w:rPr>
  </w:style>
  <w:style w:customStyle="1" w:styleId="SectionNumber" w:type="character">
    <w:name w:val="Section Number"/>
    <w:basedOn w:val="BodyTextChar"/>
    <w:rPr>
      <w:rFonts w:ascii="Caladea" w:hAnsi="Caladea"/>
      <w:color w:val="1A1A1A"/>
    </w:rPr>
  </w:style>
  <w:style w:styleId="FootnoteReference" w:type="character">
    <w:name w:val="Footnote Reference"/>
    <w:basedOn w:val="BodyTextChar"/>
    <w:rPr>
      <w:rFonts w:ascii="Caladea" w:hAnsi="Caladea"/>
      <w:color w:val="1A1A1A"/>
      <w:vertAlign w:val="superscript"/>
    </w:rPr>
  </w:style>
  <w:style w:styleId="Hyperlink" w:type="character">
    <w:name w:val="Hyperlink"/>
    <w:basedOn w:val="BodyTextChar"/>
    <w:rPr>
      <w:rFonts w:ascii="Caladea" w:hAnsi="Caladea"/>
      <w:color w:val="1A1A1A"/>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ascii="Caladea" w:hAnsi="Caladea"/>
      <w:b w:val="0"/>
      <w:bCs w:val="0"/>
      <w:color w:val="1A1A1A"/>
    </w:rPr>
  </w:style>
  <w:style w:type="paragraph" w:customStyle="1" w:styleId="SourceCode">
    <w:name w:val="Source Code"/>
    <w:basedOn w:val="Normal"/>
    <w:link w:val="VerbatimChar"/>
    <w:pPr>
      <w:wordWrap w:val="off"/>
    </w:pPr>
    <w:rPr>
      <w:rFonts w:ascii="Caladea" w:hAnsi="Caladea"/>
      <w:color w:val="1A1A1A"/>
    </w:rPr>
  </w:style>
  <w:style w:type="character" w:customStyle="1" w:styleId="KeywordTok">
    <w:name w:val="KeywordTok"/>
    <w:basedOn w:val="VerbatimChar"/>
    <w:rPr>
      <w:rFonts w:ascii="Caladea" w:hAnsi="Caladea"/>
      <w:b/>
      <w:color w:val="1A1A1A"/>
    </w:rPr>
  </w:style>
  <w:style w:type="character" w:customStyle="1" w:styleId="DataTypeTok">
    <w:name w:val="DataTypeTok"/>
    <w:basedOn w:val="VerbatimChar"/>
    <w:rPr>
      <w:rFonts w:ascii="Caladea" w:hAnsi="Caladea"/>
      <w:color w:val="1A1A1A"/>
    </w:rPr>
  </w:style>
  <w:style w:type="character" w:customStyle="1" w:styleId="DecValTok">
    <w:name w:val="DecValTok"/>
    <w:basedOn w:val="VerbatimChar"/>
    <w:rPr>
      <w:rFonts w:ascii="Caladea" w:hAnsi="Caladea"/>
      <w:color w:val="1A1A1A"/>
    </w:rPr>
  </w:style>
  <w:style w:type="character" w:customStyle="1" w:styleId="BaseNTok">
    <w:name w:val="BaseNTok"/>
    <w:basedOn w:val="VerbatimChar"/>
    <w:rPr>
      <w:rFonts w:ascii="Caladea" w:hAnsi="Caladea"/>
      <w:color w:val="1A1A1A"/>
    </w:rPr>
  </w:style>
  <w:style w:type="character" w:customStyle="1" w:styleId="FloatTok">
    <w:name w:val="FloatTok"/>
    <w:basedOn w:val="VerbatimChar"/>
    <w:rPr>
      <w:rFonts w:ascii="Caladea" w:hAnsi="Caladea"/>
      <w:color w:val="1A1A1A"/>
    </w:rPr>
  </w:style>
  <w:style w:type="character" w:customStyle="1" w:styleId="ConstantTok">
    <w:name w:val="ConstantTok"/>
    <w:basedOn w:val="VerbatimChar"/>
    <w:rPr>
      <w:rFonts w:ascii="Caladea" w:hAnsi="Caladea"/>
      <w:color w:val="1A1A1A"/>
    </w:rPr>
  </w:style>
  <w:style w:type="character" w:customStyle="1" w:styleId="CharTok">
    <w:name w:val="CharTok"/>
    <w:basedOn w:val="VerbatimChar"/>
    <w:rPr>
      <w:rFonts w:ascii="Caladea" w:hAnsi="Caladea"/>
      <w:color w:val="1A1A1A"/>
    </w:rPr>
  </w:style>
  <w:style w:type="character" w:customStyle="1" w:styleId="SpecialCharTok">
    <w:name w:val="SpecialCharTok"/>
    <w:basedOn w:val="VerbatimChar"/>
    <w:rPr>
      <w:rFonts w:ascii="Caladea" w:hAnsi="Caladea"/>
      <w:color w:val="1A1A1A"/>
    </w:rPr>
  </w:style>
  <w:style w:type="character" w:customStyle="1" w:styleId="StringTok">
    <w:name w:val="StringTok"/>
    <w:basedOn w:val="VerbatimChar"/>
    <w:rPr>
      <w:rFonts w:ascii="Caladea" w:hAnsi="Caladea"/>
      <w:color w:val="1A1A1A"/>
    </w:rPr>
  </w:style>
  <w:style w:type="character" w:customStyle="1" w:styleId="VerbatimStringTok">
    <w:name w:val="VerbatimStringTok"/>
    <w:basedOn w:val="VerbatimChar"/>
    <w:rPr>
      <w:rFonts w:ascii="Caladea" w:hAnsi="Caladea"/>
      <w:color w:val="1A1A1A"/>
    </w:rPr>
  </w:style>
  <w:style w:type="character" w:customStyle="1" w:styleId="SpecialStringTok">
    <w:name w:val="SpecialStringTok"/>
    <w:basedOn w:val="VerbatimChar"/>
    <w:rPr>
      <w:rFonts w:ascii="Caladea" w:hAnsi="Caladea"/>
      <w:color w:val="1A1A1A"/>
    </w:rPr>
  </w:style>
  <w:style w:type="character" w:customStyle="1" w:styleId="ImportTok">
    <w:name w:val="ImportTok"/>
    <w:basedOn w:val="VerbatimChar"/>
    <w:rPr>
      <w:rFonts w:ascii="Caladea" w:hAnsi="Caladea"/>
      <w:b/>
      <w:color w:val="1A1A1A"/>
    </w:rPr>
  </w:style>
  <w:style w:type="character" w:customStyle="1" w:styleId="CommentTok">
    <w:name w:val="CommentTok"/>
    <w:basedOn w:val="VerbatimChar"/>
    <w:rPr>
      <w:rFonts w:ascii="Caladea" w:hAnsi="Caladea"/>
      <w:i/>
      <w:color w:val="1A1A1A"/>
    </w:rPr>
  </w:style>
  <w:style w:type="character" w:customStyle="1" w:styleId="DocumentationTok">
    <w:name w:val="DocumentationTok"/>
    <w:basedOn w:val="VerbatimChar"/>
    <w:rPr>
      <w:rFonts w:ascii="Caladea" w:hAnsi="Caladea"/>
      <w:i/>
      <w:color w:val="1A1A1A"/>
    </w:rPr>
  </w:style>
  <w:style w:type="character" w:customStyle="1" w:styleId="AnnotationTok">
    <w:name w:val="AnnotationTok"/>
    <w:basedOn w:val="VerbatimChar"/>
    <w:rPr>
      <w:rFonts w:ascii="Caladea" w:hAnsi="Caladea"/>
      <w:b/>
      <w:i/>
      <w:color w:val="1A1A1A"/>
    </w:rPr>
  </w:style>
  <w:style w:type="character" w:customStyle="1" w:styleId="CommentVarTok">
    <w:name w:val="CommentVarTok"/>
    <w:basedOn w:val="VerbatimChar"/>
    <w:rPr>
      <w:rFonts w:ascii="Caladea" w:hAnsi="Caladea"/>
      <w:b/>
      <w:i/>
      <w:color w:val="1A1A1A"/>
    </w:rPr>
  </w:style>
  <w:style w:type="character" w:customStyle="1" w:styleId="OtherTok">
    <w:name w:val="OtherTok"/>
    <w:basedOn w:val="VerbatimChar"/>
    <w:rPr>
      <w:rFonts w:ascii="Caladea" w:hAnsi="Caladea"/>
      <w:color w:val="1A1A1A"/>
    </w:rPr>
  </w:style>
  <w:style w:type="character" w:customStyle="1" w:styleId="FunctionTok">
    <w:name w:val="FunctionTok"/>
    <w:basedOn w:val="VerbatimChar"/>
    <w:rPr>
      <w:rFonts w:ascii="Caladea" w:hAnsi="Caladea"/>
      <w:color w:val="1A1A1A"/>
    </w:rPr>
  </w:style>
  <w:style w:type="character" w:customStyle="1" w:styleId="VariableTok">
    <w:name w:val="VariableTok"/>
    <w:basedOn w:val="VerbatimChar"/>
    <w:rPr>
      <w:rFonts w:ascii="Caladea" w:hAnsi="Caladea"/>
      <w:color w:val="1A1A1A"/>
    </w:rPr>
  </w:style>
  <w:style w:type="character" w:customStyle="1" w:styleId="ControlFlowTok">
    <w:name w:val="ControlFlowTok"/>
    <w:basedOn w:val="VerbatimChar"/>
    <w:rPr>
      <w:rFonts w:ascii="Caladea" w:hAnsi="Caladea"/>
      <w:b/>
      <w:color w:val="1A1A1A"/>
    </w:rPr>
  </w:style>
  <w:style w:type="character" w:customStyle="1" w:styleId="OperatorTok">
    <w:name w:val="OperatorTok"/>
    <w:basedOn w:val="VerbatimChar"/>
    <w:rPr>
      <w:rFonts w:ascii="Caladea" w:hAnsi="Caladea"/>
      <w:color w:val="1A1A1A"/>
    </w:rPr>
  </w:style>
  <w:style w:type="character" w:customStyle="1" w:styleId="BuiltInTok">
    <w:name w:val="BuiltInTok"/>
    <w:basedOn w:val="VerbatimChar"/>
    <w:rPr>
      <w:rFonts w:ascii="Caladea" w:hAnsi="Caladea"/>
      <w:color w:val="1A1A1A"/>
    </w:rPr>
  </w:style>
  <w:style w:type="character" w:customStyle="1" w:styleId="ExtensionTok">
    <w:name w:val="ExtensionTok"/>
    <w:basedOn w:val="VerbatimChar"/>
    <w:rPr>
      <w:rFonts w:ascii="Caladea" w:hAnsi="Caladea"/>
      <w:color w:val="1A1A1A"/>
    </w:rPr>
  </w:style>
  <w:style w:type="character" w:customStyle="1" w:styleId="PreprocessorTok">
    <w:name w:val="PreprocessorTok"/>
    <w:basedOn w:val="VerbatimChar"/>
    <w:rPr>
      <w:rFonts w:ascii="Caladea" w:hAnsi="Caladea"/>
      <w:color w:val="1A1A1A"/>
    </w:rPr>
  </w:style>
  <w:style w:type="character" w:customStyle="1" w:styleId="AttributeTok">
    <w:name w:val="AttributeTok"/>
    <w:basedOn w:val="VerbatimChar"/>
    <w:rPr>
      <w:rFonts w:ascii="Caladea" w:hAnsi="Caladea"/>
      <w:color w:val="1A1A1A"/>
    </w:rPr>
  </w:style>
  <w:style w:type="character" w:customStyle="1" w:styleId="RegionMarkerTok">
    <w:name w:val="RegionMarkerTok"/>
    <w:basedOn w:val="VerbatimChar"/>
    <w:rPr>
      <w:rFonts w:ascii="Caladea" w:hAnsi="Caladea"/>
      <w:color w:val="1A1A1A"/>
    </w:rPr>
  </w:style>
  <w:style w:type="character" w:customStyle="1" w:styleId="InformationTok">
    <w:name w:val="InformationTok"/>
    <w:basedOn w:val="VerbatimChar"/>
    <w:rPr>
      <w:rFonts w:ascii="Caladea" w:hAnsi="Caladea"/>
      <w:b/>
      <w:i/>
      <w:color w:val="1A1A1A"/>
    </w:rPr>
  </w:style>
  <w:style w:type="character" w:customStyle="1" w:styleId="WarningTok">
    <w:name w:val="WarningTok"/>
    <w:basedOn w:val="VerbatimChar"/>
    <w:rPr>
      <w:rFonts w:ascii="Caladea" w:hAnsi="Caladea"/>
      <w:b/>
      <w:i/>
      <w:color w:val="1A1A1A"/>
    </w:rPr>
  </w:style>
  <w:style w:type="character" w:customStyle="1" w:styleId="AlertTok">
    <w:name w:val="AlertTok"/>
    <w:basedOn w:val="VerbatimChar"/>
    <w:rPr>
      <w:rFonts w:ascii="Caladea" w:hAnsi="Caladea"/>
      <w:b/>
      <w:color w:val="1A1A1A"/>
    </w:rPr>
  </w:style>
  <w:style w:type="character" w:customStyle="1" w:styleId="ErrorTok">
    <w:name w:val="ErrorTok"/>
    <w:basedOn w:val="VerbatimChar"/>
    <w:rPr>
      <w:rFonts w:ascii="Caladea" w:hAnsi="Caladea"/>
      <w:b/>
      <w:color w:val="1A1A1A"/>
    </w:rPr>
  </w:style>
  <w:style w:type="character" w:customStyle="1" w:styleId="NormalTok">
    <w:name w:val="NormalTok"/>
    <w:basedOn w:val="VerbatimChar"/>
    <w:rPr>
      <w:rFonts w:ascii="Caladea" w:hAnsi="Caladea"/>
      <w:color w:val="1A1A1A"/>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23" Type="http://schemas.openxmlformats.org/officeDocument/2006/relationships/hyperlink" Target="https://e-sbirka.gov.cz/sb/1985/133" TargetMode="External"/><Relationship Id="rId24" Type="http://schemas.openxmlformats.org/officeDocument/2006/relationships/hyperlink" Target="https://e-sbirka.gov.cz/sb/2001/246" TargetMode="External"/><Relationship Id="rId25" Type="http://schemas.openxmlformats.org/officeDocument/2006/relationships/hyperlink" Target="https://hzscr.gov.cz" TargetMode="External"/><Relationship Id="rId26" Type="http://schemas.openxmlformats.org/officeDocument/2006/relationships/hyperlink" Target="https://pozarniapka.cz" TargetMode="External"/><Relationship Id="rId27" Type="http://schemas.openxmlformats.org/officeDocument/2006/relationships/hyperlink" Target="mailto:info@pozarniapka.cz"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3" Type="http://schemas.openxmlformats.org/officeDocument/2006/relationships/hyperlink" Target="https://e-sbirka.gov.cz/sb/1985/133" TargetMode="External"/><Relationship Id="rId24" Type="http://schemas.openxmlformats.org/officeDocument/2006/relationships/hyperlink" Target="https://e-sbirka.gov.cz/sb/2001/246" TargetMode="External"/><Relationship Id="rId25" Type="http://schemas.openxmlformats.org/officeDocument/2006/relationships/hyperlink" Target="https://hzscr.gov.cz" TargetMode="External"/><Relationship Id="rId26" Type="http://schemas.openxmlformats.org/officeDocument/2006/relationships/hyperlink" Target="https://pozarniapka.cz" TargetMode="External"/><Relationship Id="rId27" Type="http://schemas.openxmlformats.org/officeDocument/2006/relationships/hyperlink" Target="mailto:info@pozarniap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Požární apka</dc:creator>
  <dc:language>cs-CZ</dc:language>
  <cp:keywords/>
  <dcterms:created xsi:type="dcterms:W3CDTF">2026-09-07T15:32:36Z</dcterms:created>
  <dcterms:modified xsi:type="dcterms:W3CDTF">2026-09-07T15:32:36Z</dcterms:modified>
  <cp:lastModifiedBy>Požární apka</cp:lastModifiedBy>
</cp:coreProperties>
</file>

<file path=docProps/custom.xml><?xml version="1.0" encoding="utf-8"?>
<Properties xmlns="http://schemas.openxmlformats.org/officeDocument/2006/custom-properties" xmlns:vt="http://schemas.openxmlformats.org/officeDocument/2006/docPropsVTypes"/>
</file>